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jc w:val="center"/>
        <w:rPr>
          <w:rFonts w:ascii="仿宋" w:hAnsi="仿宋" w:eastAsia="仿宋" w:cs="仿宋"/>
          <w:kern w:val="0"/>
          <w:sz w:val="28"/>
          <w:highlight w:val="none"/>
        </w:rPr>
      </w:pPr>
    </w:p>
    <w:p>
      <w:pPr>
        <w:wordWrap w:val="0"/>
        <w:topLinePunct/>
        <w:jc w:val="right"/>
        <w:rPr>
          <w:rFonts w:ascii="仿宋" w:hAnsi="仿宋" w:eastAsia="仿宋" w:cs="仿宋"/>
          <w:b/>
          <w:bCs/>
          <w:kern w:val="0"/>
          <w:sz w:val="36"/>
          <w:highlight w:val="none"/>
        </w:rPr>
      </w:pPr>
      <w:r>
        <w:rPr>
          <w:rFonts w:hint="eastAsia" w:ascii="仿宋" w:hAnsi="仿宋" w:eastAsia="仿宋" w:cs="仿宋"/>
          <w:b/>
          <w:bCs/>
          <w:kern w:val="0"/>
          <w:sz w:val="36"/>
          <w:highlight w:val="none"/>
        </w:rPr>
        <w:t>JSDC-G-20240612001号</w:t>
      </w:r>
    </w:p>
    <w:p>
      <w:pPr>
        <w:wordWrap w:val="0"/>
        <w:topLinePunct/>
        <w:jc w:val="center"/>
        <w:rPr>
          <w:rFonts w:ascii="仿宋" w:hAnsi="仿宋" w:eastAsia="仿宋" w:cs="仿宋"/>
          <w:b/>
          <w:bCs/>
          <w:kern w:val="0"/>
          <w:sz w:val="36"/>
          <w:highlight w:val="none"/>
        </w:rPr>
      </w:pPr>
    </w:p>
    <w:p>
      <w:pPr>
        <w:wordWrap w:val="0"/>
        <w:topLinePunct/>
        <w:jc w:val="center"/>
        <w:rPr>
          <w:rFonts w:hint="eastAsia" w:ascii="仿宋" w:hAnsi="仿宋" w:eastAsia="仿宋" w:cs="仿宋"/>
          <w:b/>
          <w:bCs/>
          <w:kern w:val="0"/>
          <w:sz w:val="36"/>
          <w:highlight w:val="none"/>
          <w:lang w:eastAsia="zh-CN"/>
        </w:rPr>
      </w:pPr>
      <w:r>
        <w:rPr>
          <w:rFonts w:hint="eastAsia" w:ascii="仿宋" w:hAnsi="仿宋" w:eastAsia="仿宋" w:cs="仿宋"/>
          <w:b/>
          <w:bCs/>
          <w:kern w:val="0"/>
          <w:sz w:val="36"/>
          <w:highlight w:val="none"/>
          <w:lang w:eastAsia="zh-CN"/>
        </w:rPr>
        <w:t>2024-2025年建盛公司燃气表具采购项目</w:t>
      </w:r>
    </w:p>
    <w:p>
      <w:pPr>
        <w:wordWrap w:val="0"/>
        <w:topLinePunct/>
        <w:jc w:val="center"/>
        <w:rPr>
          <w:rFonts w:ascii="仿宋" w:hAnsi="仿宋" w:eastAsia="仿宋" w:cs="仿宋"/>
          <w:b/>
          <w:bCs/>
          <w:kern w:val="0"/>
          <w:sz w:val="36"/>
          <w:highlight w:val="none"/>
        </w:rPr>
      </w:pPr>
      <w:r>
        <w:rPr>
          <w:rFonts w:hint="eastAsia" w:ascii="仿宋" w:hAnsi="仿宋" w:eastAsia="仿宋" w:cs="仿宋"/>
          <w:b/>
          <w:bCs/>
          <w:kern w:val="0"/>
          <w:sz w:val="36"/>
          <w:highlight w:val="none"/>
        </w:rPr>
        <w:t>公开招标文件</w:t>
      </w:r>
    </w:p>
    <w:p>
      <w:pPr>
        <w:wordWrap w:val="0"/>
        <w:topLinePunct/>
        <w:adjustRightInd w:val="0"/>
        <w:snapToGrid w:val="0"/>
        <w:spacing w:line="360" w:lineRule="auto"/>
        <w:jc w:val="center"/>
        <w:rPr>
          <w:rFonts w:ascii="仿宋" w:hAnsi="仿宋" w:eastAsia="仿宋" w:cs="仿宋"/>
          <w:kern w:val="0"/>
          <w:sz w:val="36"/>
          <w:highlight w:val="none"/>
        </w:rPr>
      </w:pPr>
    </w:p>
    <w:p>
      <w:pPr>
        <w:pStyle w:val="10"/>
        <w:wordWrap w:val="0"/>
        <w:topLinePunct/>
        <w:adjustRightInd w:val="0"/>
        <w:snapToGrid w:val="0"/>
        <w:spacing w:line="360" w:lineRule="auto"/>
        <w:ind w:left="0" w:leftChars="0"/>
        <w:jc w:val="center"/>
        <w:rPr>
          <w:rFonts w:ascii="仿宋" w:hAnsi="仿宋" w:eastAsia="仿宋" w:cs="仿宋"/>
          <w:kern w:val="0"/>
          <w:sz w:val="36"/>
          <w:highlight w:val="none"/>
        </w:rPr>
      </w:pPr>
    </w:p>
    <w:p>
      <w:pPr>
        <w:wordWrap w:val="0"/>
        <w:topLinePunct/>
        <w:adjustRightInd w:val="0"/>
        <w:snapToGrid w:val="0"/>
        <w:spacing w:line="360" w:lineRule="auto"/>
        <w:rPr>
          <w:rFonts w:ascii="仿宋" w:hAnsi="仿宋" w:eastAsia="仿宋" w:cs="仿宋"/>
          <w:kern w:val="0"/>
          <w:sz w:val="36"/>
          <w:highlight w:val="none"/>
        </w:rPr>
      </w:pPr>
      <w:r>
        <w:rPr>
          <w:rFonts w:hint="eastAsia" w:ascii="仿宋" w:hAnsi="仿宋" w:eastAsia="仿宋" w:cs="仿宋"/>
          <w:kern w:val="0"/>
          <w:sz w:val="36"/>
          <w:szCs w:val="36"/>
          <w:highlight w:val="none"/>
        </w:rPr>
        <w:drawing>
          <wp:inline distT="0" distB="0" distL="114300" distR="114300">
            <wp:extent cx="5385435" cy="3124200"/>
            <wp:effectExtent l="0" t="0" r="12065" b="0"/>
            <wp:docPr id="2" name="图片 2" descr="5a2ce8bd9eabf7cd61127a69bbcef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a2ce8bd9eabf7cd61127a69bbcef66"/>
                    <pic:cNvPicPr>
                      <a:picLocks noChangeAspect="1"/>
                    </pic:cNvPicPr>
                  </pic:nvPicPr>
                  <pic:blipFill>
                    <a:blip r:embed="rId6"/>
                    <a:stretch>
                      <a:fillRect/>
                    </a:stretch>
                  </pic:blipFill>
                  <pic:spPr>
                    <a:xfrm>
                      <a:off x="0" y="0"/>
                      <a:ext cx="5385435" cy="3124200"/>
                    </a:xfrm>
                    <a:prstGeom prst="rect">
                      <a:avLst/>
                    </a:prstGeom>
                  </pic:spPr>
                </pic:pic>
              </a:graphicData>
            </a:graphic>
          </wp:inline>
        </w:drawing>
      </w:r>
    </w:p>
    <w:p>
      <w:pPr>
        <w:pStyle w:val="10"/>
        <w:wordWrap w:val="0"/>
        <w:topLinePunct/>
        <w:adjustRightInd w:val="0"/>
        <w:snapToGrid w:val="0"/>
        <w:spacing w:line="360" w:lineRule="auto"/>
        <w:ind w:left="0" w:leftChars="0"/>
        <w:jc w:val="center"/>
        <w:rPr>
          <w:rFonts w:ascii="仿宋" w:hAnsi="仿宋" w:eastAsia="仿宋" w:cs="仿宋"/>
          <w:kern w:val="0"/>
          <w:sz w:val="36"/>
          <w:highlight w:val="none"/>
        </w:rPr>
      </w:pPr>
    </w:p>
    <w:p>
      <w:pPr>
        <w:wordWrap w:val="0"/>
        <w:topLinePunct/>
        <w:ind w:firstLine="466" w:firstLineChars="145"/>
        <w:rPr>
          <w:rFonts w:ascii="仿宋" w:hAnsi="仿宋" w:eastAsia="仿宋" w:cs="仿宋"/>
          <w:b/>
          <w:bCs/>
          <w:kern w:val="0"/>
          <w:sz w:val="32"/>
          <w:szCs w:val="32"/>
          <w:highlight w:val="none"/>
        </w:rPr>
      </w:pPr>
      <w:r>
        <w:rPr>
          <w:rFonts w:hint="eastAsia" w:ascii="仿宋" w:hAnsi="仿宋" w:eastAsia="仿宋" w:cs="仿宋"/>
          <w:b/>
          <w:bCs/>
          <w:kern w:val="0"/>
          <w:sz w:val="32"/>
          <w:szCs w:val="32"/>
          <w:highlight w:val="none"/>
        </w:rPr>
        <w:t>采   购   人：</w:t>
      </w:r>
      <w:bookmarkStart w:id="0" w:name="OLE_LINK1"/>
      <w:r>
        <w:rPr>
          <w:rFonts w:hint="eastAsia" w:ascii="仿宋" w:hAnsi="仿宋" w:eastAsia="仿宋" w:cs="仿宋"/>
          <w:b/>
          <w:bCs/>
          <w:kern w:val="0"/>
          <w:sz w:val="32"/>
          <w:szCs w:val="32"/>
          <w:highlight w:val="none"/>
        </w:rPr>
        <w:t>扬州市建盛公用事业发展有限公司</w:t>
      </w:r>
    </w:p>
    <w:bookmarkEnd w:id="0"/>
    <w:p>
      <w:pPr>
        <w:wordWrap w:val="0"/>
        <w:topLinePunct/>
        <w:ind w:firstLine="466" w:firstLineChars="145"/>
        <w:rPr>
          <w:rFonts w:ascii="仿宋" w:hAnsi="仿宋" w:eastAsia="仿宋" w:cs="仿宋"/>
          <w:b/>
          <w:bCs/>
          <w:kern w:val="0"/>
          <w:sz w:val="32"/>
          <w:szCs w:val="32"/>
          <w:highlight w:val="none"/>
        </w:rPr>
      </w:pPr>
      <w:r>
        <w:rPr>
          <w:rFonts w:hint="eastAsia" w:ascii="仿宋" w:hAnsi="仿宋" w:eastAsia="仿宋" w:cs="仿宋"/>
          <w:b/>
          <w:bCs/>
          <w:kern w:val="0"/>
          <w:sz w:val="32"/>
          <w:szCs w:val="32"/>
          <w:highlight w:val="none"/>
        </w:rPr>
        <w:t>采购代理机构：江苏省鼎诚建设工程顾问有限公司</w:t>
      </w:r>
    </w:p>
    <w:p>
      <w:pPr>
        <w:wordWrap w:val="0"/>
        <w:topLinePunct/>
        <w:ind w:firstLine="466" w:firstLineChars="145"/>
        <w:rPr>
          <w:rFonts w:hint="eastAsia" w:ascii="仿宋" w:hAnsi="仿宋" w:eastAsia="仿宋" w:cs="仿宋"/>
          <w:b/>
          <w:bCs/>
          <w:kern w:val="0"/>
          <w:sz w:val="32"/>
          <w:szCs w:val="32"/>
          <w:highlight w:val="none"/>
          <w:lang w:eastAsia="zh-CN"/>
        </w:rPr>
      </w:pPr>
      <w:r>
        <w:rPr>
          <w:rFonts w:hint="eastAsia" w:ascii="仿宋" w:hAnsi="仿宋" w:eastAsia="仿宋" w:cs="仿宋"/>
          <w:b/>
          <w:bCs/>
          <w:kern w:val="0"/>
          <w:sz w:val="32"/>
          <w:szCs w:val="32"/>
          <w:highlight w:val="none"/>
        </w:rPr>
        <w:t xml:space="preserve">发 放 </w:t>
      </w:r>
      <w:r>
        <w:rPr>
          <w:rFonts w:hint="eastAsia" w:ascii="仿宋" w:hAnsi="仿宋" w:eastAsia="仿宋" w:cs="仿宋"/>
          <w:b/>
          <w:bCs/>
          <w:kern w:val="0"/>
          <w:sz w:val="32"/>
          <w:szCs w:val="32"/>
          <w:highlight w:val="none"/>
          <w:lang w:val="en-US" w:eastAsia="zh-CN"/>
        </w:rPr>
        <w:t xml:space="preserve"> </w:t>
      </w:r>
      <w:r>
        <w:rPr>
          <w:rFonts w:hint="eastAsia" w:ascii="仿宋" w:hAnsi="仿宋" w:eastAsia="仿宋" w:cs="仿宋"/>
          <w:b/>
          <w:bCs/>
          <w:kern w:val="0"/>
          <w:sz w:val="32"/>
          <w:szCs w:val="32"/>
          <w:highlight w:val="none"/>
        </w:rPr>
        <w:t>日 期：</w:t>
      </w:r>
      <w:r>
        <w:rPr>
          <w:rFonts w:hint="eastAsia" w:ascii="仿宋" w:hAnsi="仿宋" w:eastAsia="仿宋" w:cs="仿宋"/>
          <w:b/>
          <w:bCs/>
          <w:kern w:val="0"/>
          <w:sz w:val="32"/>
          <w:szCs w:val="32"/>
          <w:highlight w:val="none"/>
          <w:lang w:eastAsia="zh-CN"/>
        </w:rPr>
        <w:t>2024年08月05日</w:t>
      </w:r>
    </w:p>
    <w:p>
      <w:pPr>
        <w:pStyle w:val="10"/>
        <w:wordWrap w:val="0"/>
        <w:topLinePunct/>
        <w:ind w:left="1260"/>
        <w:rPr>
          <w:rFonts w:ascii="仿宋" w:hAnsi="仿宋" w:eastAsia="仿宋" w:cs="仿宋"/>
          <w:b/>
          <w:bCs/>
          <w:kern w:val="0"/>
          <w:sz w:val="32"/>
          <w:szCs w:val="32"/>
          <w:highlight w:val="none"/>
        </w:rPr>
      </w:pPr>
    </w:p>
    <w:p>
      <w:pPr>
        <w:wordWrap w:val="0"/>
        <w:topLinePunct/>
        <w:rPr>
          <w:rFonts w:ascii="仿宋" w:hAnsi="仿宋" w:eastAsia="仿宋" w:cs="仿宋"/>
          <w:kern w:val="0"/>
          <w:sz w:val="32"/>
          <w:highlight w:val="none"/>
        </w:rPr>
      </w:pPr>
      <w:r>
        <w:rPr>
          <w:rFonts w:hint="eastAsia" w:ascii="仿宋" w:hAnsi="仿宋" w:eastAsia="仿宋" w:cs="仿宋"/>
          <w:kern w:val="0"/>
          <w:sz w:val="32"/>
          <w:highlight w:val="none"/>
        </w:rPr>
        <w:br w:type="page"/>
      </w:r>
    </w:p>
    <w:p>
      <w:pPr>
        <w:pStyle w:val="33"/>
        <w:wordWrap w:val="0"/>
        <w:topLinePunct/>
        <w:rPr>
          <w:rFonts w:ascii="仿宋" w:hAnsi="仿宋" w:eastAsia="仿宋" w:cs="仿宋"/>
          <w:highlight w:val="none"/>
        </w:rPr>
      </w:pPr>
    </w:p>
    <w:p>
      <w:pPr>
        <w:wordWrap w:val="0"/>
        <w:topLinePunct/>
        <w:jc w:val="center"/>
        <w:rPr>
          <w:rFonts w:ascii="仿宋" w:hAnsi="仿宋" w:eastAsia="仿宋" w:cs="仿宋"/>
          <w:kern w:val="0"/>
          <w:sz w:val="32"/>
          <w:highlight w:val="none"/>
        </w:rPr>
      </w:pPr>
    </w:p>
    <w:p>
      <w:pPr>
        <w:wordWrap w:val="0"/>
        <w:topLinePunct/>
        <w:spacing w:line="360" w:lineRule="auto"/>
        <w:jc w:val="center"/>
        <w:rPr>
          <w:rFonts w:ascii="仿宋" w:hAnsi="仿宋" w:eastAsia="仿宋" w:cs="仿宋"/>
          <w:kern w:val="0"/>
          <w:sz w:val="32"/>
          <w:highlight w:val="none"/>
        </w:rPr>
      </w:pPr>
      <w:r>
        <w:rPr>
          <w:rFonts w:hint="eastAsia" w:ascii="仿宋" w:hAnsi="仿宋" w:eastAsia="仿宋" w:cs="仿宋"/>
          <w:kern w:val="0"/>
          <w:sz w:val="32"/>
          <w:highlight w:val="none"/>
        </w:rPr>
        <w:t>目 录</w:t>
      </w:r>
    </w:p>
    <w:p>
      <w:pPr>
        <w:pStyle w:val="18"/>
        <w:tabs>
          <w:tab w:val="right" w:leader="dot" w:pos="8296"/>
        </w:tabs>
        <w:wordWrap w:val="0"/>
        <w:topLinePunct/>
        <w:spacing w:line="360" w:lineRule="auto"/>
        <w:rPr>
          <w:rFonts w:ascii="仿宋" w:hAnsi="仿宋" w:eastAsia="仿宋" w:cs="仿宋"/>
          <w:kern w:val="0"/>
          <w:highlight w:val="none"/>
        </w:rPr>
      </w:pPr>
      <w:r>
        <w:rPr>
          <w:rFonts w:hint="eastAsia" w:ascii="仿宋" w:hAnsi="仿宋" w:eastAsia="仿宋" w:cs="仿宋"/>
          <w:kern w:val="0"/>
          <w:sz w:val="28"/>
          <w:highlight w:val="none"/>
        </w:rPr>
        <w:fldChar w:fldCharType="begin"/>
      </w:r>
      <w:r>
        <w:rPr>
          <w:rFonts w:hint="eastAsia" w:ascii="仿宋" w:hAnsi="仿宋" w:eastAsia="仿宋" w:cs="仿宋"/>
          <w:kern w:val="0"/>
          <w:sz w:val="28"/>
          <w:highlight w:val="none"/>
        </w:rPr>
        <w:instrText xml:space="preserve"> TOC \o "1-3" \f </w:instrText>
      </w:r>
      <w:r>
        <w:rPr>
          <w:rFonts w:hint="eastAsia" w:ascii="仿宋" w:hAnsi="仿宋" w:eastAsia="仿宋" w:cs="仿宋"/>
          <w:kern w:val="0"/>
          <w:sz w:val="28"/>
          <w:highlight w:val="none"/>
        </w:rPr>
        <w:fldChar w:fldCharType="separate"/>
      </w:r>
      <w:r>
        <w:rPr>
          <w:rFonts w:hint="eastAsia" w:ascii="仿宋" w:hAnsi="仿宋" w:eastAsia="仿宋" w:cs="仿宋"/>
          <w:kern w:val="0"/>
          <w:highlight w:val="none"/>
        </w:rPr>
        <w:t>第一章 招标公告</w:t>
      </w:r>
      <w:r>
        <w:rPr>
          <w:rFonts w:hint="eastAsia" w:ascii="仿宋" w:hAnsi="仿宋" w:eastAsia="仿宋" w:cs="仿宋"/>
          <w:kern w:val="0"/>
          <w:highlight w:val="none"/>
        </w:rPr>
        <w:tab/>
      </w:r>
      <w:r>
        <w:rPr>
          <w:rFonts w:hint="eastAsia" w:ascii="仿宋" w:hAnsi="仿宋" w:eastAsia="仿宋" w:cs="仿宋"/>
          <w:kern w:val="0"/>
          <w:highlight w:val="none"/>
        </w:rPr>
        <w:fldChar w:fldCharType="begin"/>
      </w:r>
      <w:r>
        <w:rPr>
          <w:rFonts w:hint="eastAsia" w:ascii="仿宋" w:hAnsi="仿宋" w:eastAsia="仿宋" w:cs="仿宋"/>
          <w:kern w:val="0"/>
          <w:highlight w:val="none"/>
        </w:rPr>
        <w:instrText xml:space="preserve"> PAGEREF _Toc498003953 \h </w:instrText>
      </w:r>
      <w:r>
        <w:rPr>
          <w:rFonts w:hint="eastAsia" w:ascii="仿宋" w:hAnsi="仿宋" w:eastAsia="仿宋" w:cs="仿宋"/>
          <w:kern w:val="0"/>
          <w:highlight w:val="none"/>
        </w:rPr>
        <w:fldChar w:fldCharType="separate"/>
      </w:r>
      <w:r>
        <w:rPr>
          <w:rFonts w:hint="eastAsia" w:ascii="仿宋" w:hAnsi="仿宋" w:eastAsia="仿宋" w:cs="仿宋"/>
          <w:kern w:val="0"/>
          <w:highlight w:val="none"/>
        </w:rPr>
        <w:t>3</w:t>
      </w:r>
      <w:r>
        <w:rPr>
          <w:rFonts w:hint="eastAsia" w:ascii="仿宋" w:hAnsi="仿宋" w:eastAsia="仿宋" w:cs="仿宋"/>
          <w:kern w:val="0"/>
          <w:highlight w:val="none"/>
        </w:rPr>
        <w:fldChar w:fldCharType="end"/>
      </w:r>
    </w:p>
    <w:p>
      <w:pPr>
        <w:pStyle w:val="18"/>
        <w:tabs>
          <w:tab w:val="right" w:leader="dot" w:pos="8296"/>
        </w:tabs>
        <w:wordWrap w:val="0"/>
        <w:topLinePunct/>
        <w:spacing w:line="360" w:lineRule="auto"/>
        <w:rPr>
          <w:rFonts w:ascii="仿宋" w:hAnsi="仿宋" w:eastAsia="仿宋" w:cs="仿宋"/>
          <w:kern w:val="0"/>
          <w:highlight w:val="none"/>
        </w:rPr>
      </w:pPr>
      <w:r>
        <w:rPr>
          <w:rFonts w:hint="eastAsia" w:ascii="仿宋" w:hAnsi="仿宋" w:eastAsia="仿宋" w:cs="仿宋"/>
          <w:kern w:val="0"/>
          <w:highlight w:val="none"/>
        </w:rPr>
        <w:t>第二章 投标人须知</w:t>
      </w:r>
      <w:r>
        <w:rPr>
          <w:rFonts w:hint="eastAsia" w:ascii="仿宋" w:hAnsi="仿宋" w:eastAsia="仿宋" w:cs="仿宋"/>
          <w:kern w:val="0"/>
          <w:highlight w:val="none"/>
        </w:rPr>
        <w:tab/>
      </w:r>
      <w:r>
        <w:rPr>
          <w:rFonts w:hint="eastAsia" w:ascii="仿宋" w:hAnsi="仿宋" w:eastAsia="仿宋" w:cs="仿宋"/>
          <w:kern w:val="0"/>
          <w:highlight w:val="none"/>
        </w:rPr>
        <w:t xml:space="preserve">7 </w:t>
      </w:r>
    </w:p>
    <w:p>
      <w:pPr>
        <w:pStyle w:val="18"/>
        <w:tabs>
          <w:tab w:val="right" w:leader="dot" w:pos="8296"/>
        </w:tabs>
        <w:wordWrap w:val="0"/>
        <w:topLinePunct/>
        <w:spacing w:line="360" w:lineRule="auto"/>
        <w:rPr>
          <w:rFonts w:ascii="仿宋" w:hAnsi="仿宋" w:eastAsia="仿宋" w:cs="仿宋"/>
          <w:kern w:val="0"/>
          <w:highlight w:val="none"/>
        </w:rPr>
      </w:pPr>
      <w:r>
        <w:rPr>
          <w:rFonts w:hint="eastAsia" w:ascii="仿宋" w:hAnsi="仿宋" w:eastAsia="仿宋" w:cs="仿宋"/>
          <w:kern w:val="0"/>
          <w:highlight w:val="none"/>
        </w:rPr>
        <w:t>第三章 合同条款及格式</w:t>
      </w:r>
      <w:r>
        <w:rPr>
          <w:rFonts w:hint="eastAsia" w:ascii="仿宋" w:hAnsi="仿宋" w:eastAsia="仿宋" w:cs="仿宋"/>
          <w:kern w:val="0"/>
          <w:highlight w:val="none"/>
        </w:rPr>
        <w:tab/>
      </w:r>
      <w:r>
        <w:rPr>
          <w:rFonts w:hint="eastAsia" w:ascii="仿宋" w:hAnsi="仿宋" w:eastAsia="仿宋" w:cs="仿宋"/>
          <w:kern w:val="0"/>
          <w:highlight w:val="none"/>
        </w:rPr>
        <w:fldChar w:fldCharType="begin"/>
      </w:r>
      <w:r>
        <w:rPr>
          <w:rFonts w:hint="eastAsia" w:ascii="仿宋" w:hAnsi="仿宋" w:eastAsia="仿宋" w:cs="仿宋"/>
          <w:kern w:val="0"/>
          <w:highlight w:val="none"/>
        </w:rPr>
        <w:instrText xml:space="preserve"> PAGEREF _Toc498003955 \h </w:instrText>
      </w:r>
      <w:r>
        <w:rPr>
          <w:rFonts w:hint="eastAsia" w:ascii="仿宋" w:hAnsi="仿宋" w:eastAsia="仿宋" w:cs="仿宋"/>
          <w:kern w:val="0"/>
          <w:highlight w:val="none"/>
        </w:rPr>
        <w:fldChar w:fldCharType="separate"/>
      </w:r>
      <w:r>
        <w:rPr>
          <w:rFonts w:hint="eastAsia" w:ascii="仿宋" w:hAnsi="仿宋" w:eastAsia="仿宋" w:cs="仿宋"/>
          <w:kern w:val="0"/>
          <w:highlight w:val="none"/>
        </w:rPr>
        <w:t>18</w:t>
      </w:r>
      <w:r>
        <w:rPr>
          <w:rFonts w:hint="eastAsia" w:ascii="仿宋" w:hAnsi="仿宋" w:eastAsia="仿宋" w:cs="仿宋"/>
          <w:kern w:val="0"/>
          <w:highlight w:val="none"/>
        </w:rPr>
        <w:fldChar w:fldCharType="end"/>
      </w:r>
    </w:p>
    <w:p>
      <w:pPr>
        <w:pStyle w:val="18"/>
        <w:tabs>
          <w:tab w:val="right" w:leader="dot" w:pos="8296"/>
        </w:tabs>
        <w:wordWrap w:val="0"/>
        <w:topLinePunct/>
        <w:spacing w:line="360" w:lineRule="auto"/>
        <w:rPr>
          <w:rFonts w:ascii="仿宋" w:hAnsi="仿宋" w:eastAsia="仿宋" w:cs="仿宋"/>
          <w:kern w:val="0"/>
          <w:highlight w:val="none"/>
        </w:rPr>
      </w:pPr>
      <w:r>
        <w:rPr>
          <w:rFonts w:hint="eastAsia" w:ascii="仿宋" w:hAnsi="仿宋" w:eastAsia="仿宋" w:cs="仿宋"/>
          <w:kern w:val="0"/>
          <w:highlight w:val="none"/>
        </w:rPr>
        <w:t>第四章 项目需求</w:t>
      </w:r>
      <w:r>
        <w:rPr>
          <w:rFonts w:hint="eastAsia" w:ascii="仿宋" w:hAnsi="仿宋" w:eastAsia="仿宋" w:cs="仿宋"/>
          <w:kern w:val="0"/>
          <w:highlight w:val="none"/>
        </w:rPr>
        <w:tab/>
      </w:r>
      <w:r>
        <w:rPr>
          <w:rFonts w:hint="eastAsia" w:ascii="仿宋" w:hAnsi="仿宋" w:eastAsia="仿宋" w:cs="仿宋"/>
          <w:kern w:val="0"/>
          <w:highlight w:val="none"/>
        </w:rPr>
        <w:t>30</w:t>
      </w:r>
    </w:p>
    <w:p>
      <w:pPr>
        <w:pStyle w:val="18"/>
        <w:tabs>
          <w:tab w:val="right" w:leader="dot" w:pos="8296"/>
        </w:tabs>
        <w:wordWrap w:val="0"/>
        <w:topLinePunct/>
        <w:spacing w:line="360" w:lineRule="auto"/>
        <w:rPr>
          <w:rFonts w:ascii="仿宋" w:hAnsi="仿宋" w:eastAsia="仿宋" w:cs="仿宋"/>
          <w:kern w:val="0"/>
          <w:highlight w:val="none"/>
        </w:rPr>
      </w:pPr>
      <w:r>
        <w:rPr>
          <w:rFonts w:hint="eastAsia" w:ascii="仿宋" w:hAnsi="仿宋" w:eastAsia="仿宋" w:cs="仿宋"/>
          <w:kern w:val="0"/>
          <w:highlight w:val="none"/>
        </w:rPr>
        <w:t>第五章 评标方法及评标标准</w:t>
      </w:r>
      <w:r>
        <w:rPr>
          <w:rFonts w:hint="eastAsia" w:ascii="仿宋" w:hAnsi="仿宋" w:eastAsia="仿宋" w:cs="仿宋"/>
          <w:kern w:val="0"/>
          <w:highlight w:val="none"/>
        </w:rPr>
        <w:tab/>
      </w:r>
      <w:r>
        <w:rPr>
          <w:rFonts w:hint="eastAsia" w:ascii="仿宋" w:hAnsi="仿宋" w:eastAsia="仿宋" w:cs="仿宋"/>
          <w:kern w:val="0"/>
          <w:highlight w:val="none"/>
        </w:rPr>
        <w:t>36</w:t>
      </w:r>
    </w:p>
    <w:p>
      <w:pPr>
        <w:pStyle w:val="18"/>
        <w:tabs>
          <w:tab w:val="right" w:leader="dot" w:pos="8296"/>
        </w:tabs>
        <w:wordWrap w:val="0"/>
        <w:topLinePunct/>
        <w:spacing w:line="360" w:lineRule="auto"/>
        <w:rPr>
          <w:rFonts w:ascii="仿宋" w:hAnsi="仿宋" w:eastAsia="仿宋" w:cs="仿宋"/>
          <w:kern w:val="0"/>
          <w:highlight w:val="none"/>
        </w:rPr>
      </w:pPr>
      <w:r>
        <w:rPr>
          <w:rFonts w:hint="eastAsia" w:ascii="仿宋" w:hAnsi="仿宋" w:eastAsia="仿宋" w:cs="仿宋"/>
          <w:kern w:val="0"/>
          <w:highlight w:val="none"/>
        </w:rPr>
        <w:t>第六章 投标文件格式</w:t>
      </w:r>
      <w:r>
        <w:rPr>
          <w:rFonts w:hint="eastAsia" w:ascii="仿宋" w:hAnsi="仿宋" w:eastAsia="仿宋" w:cs="仿宋"/>
          <w:kern w:val="0"/>
          <w:highlight w:val="none"/>
        </w:rPr>
        <w:tab/>
      </w:r>
      <w:r>
        <w:rPr>
          <w:rFonts w:hint="eastAsia" w:ascii="仿宋" w:hAnsi="仿宋" w:eastAsia="仿宋" w:cs="仿宋"/>
          <w:kern w:val="0"/>
          <w:highlight w:val="none"/>
        </w:rPr>
        <w:t>45</w:t>
      </w:r>
    </w:p>
    <w:p>
      <w:pPr>
        <w:wordWrap w:val="0"/>
        <w:topLinePunct/>
        <w:spacing w:line="360" w:lineRule="auto"/>
        <w:jc w:val="center"/>
        <w:rPr>
          <w:rFonts w:ascii="仿宋" w:hAnsi="仿宋" w:eastAsia="仿宋" w:cs="仿宋"/>
          <w:kern w:val="0"/>
          <w:sz w:val="28"/>
          <w:highlight w:val="none"/>
        </w:rPr>
      </w:pPr>
      <w:r>
        <w:rPr>
          <w:rFonts w:hint="eastAsia" w:ascii="仿宋" w:hAnsi="仿宋" w:eastAsia="仿宋" w:cs="仿宋"/>
          <w:kern w:val="0"/>
          <w:sz w:val="28"/>
          <w:highlight w:val="none"/>
        </w:rPr>
        <w:fldChar w:fldCharType="end"/>
      </w:r>
      <w:bookmarkStart w:id="1" w:name="_Toc498003953"/>
    </w:p>
    <w:p>
      <w:pPr>
        <w:wordWrap w:val="0"/>
        <w:topLinePunct/>
        <w:rPr>
          <w:rFonts w:ascii="仿宋" w:hAnsi="仿宋" w:eastAsia="仿宋" w:cs="仿宋"/>
          <w:kern w:val="0"/>
          <w:sz w:val="28"/>
          <w:highlight w:val="none"/>
        </w:rPr>
      </w:pPr>
      <w:r>
        <w:rPr>
          <w:rFonts w:hint="eastAsia" w:ascii="仿宋" w:hAnsi="仿宋" w:eastAsia="仿宋" w:cs="仿宋"/>
          <w:kern w:val="0"/>
          <w:sz w:val="28"/>
          <w:highlight w:val="none"/>
        </w:rPr>
        <w:br w:type="page"/>
      </w:r>
    </w:p>
    <w:p>
      <w:pPr>
        <w:wordWrap w:val="0"/>
        <w:topLinePunct/>
        <w:spacing w:line="360" w:lineRule="auto"/>
        <w:jc w:val="center"/>
        <w:rPr>
          <w:rFonts w:ascii="仿宋" w:hAnsi="仿宋" w:eastAsia="仿宋" w:cs="仿宋"/>
          <w:kern w:val="0"/>
          <w:sz w:val="36"/>
          <w:highlight w:val="none"/>
        </w:rPr>
      </w:pPr>
      <w:r>
        <w:rPr>
          <w:rFonts w:hint="eastAsia" w:ascii="仿宋" w:hAnsi="仿宋" w:eastAsia="仿宋" w:cs="仿宋"/>
          <w:kern w:val="0"/>
          <w:sz w:val="36"/>
          <w:highlight w:val="none"/>
        </w:rPr>
        <w:t>第一章 招标公告</w:t>
      </w:r>
      <w:bookmarkEnd w:id="1"/>
    </w:p>
    <w:p>
      <w:pPr>
        <w:wordWrap w:val="0"/>
        <w:topLinePunct/>
        <w:snapToGrid w:val="0"/>
        <w:spacing w:line="360" w:lineRule="auto"/>
        <w:ind w:firstLine="420" w:firstLineChars="200"/>
        <w:jc w:val="left"/>
        <w:rPr>
          <w:rFonts w:ascii="仿宋" w:hAnsi="仿宋" w:eastAsia="仿宋" w:cs="仿宋"/>
          <w:kern w:val="0"/>
          <w:szCs w:val="21"/>
          <w:highlight w:val="none"/>
        </w:rPr>
      </w:pPr>
      <w:bookmarkStart w:id="2" w:name="_Toc498003954"/>
      <w:r>
        <w:rPr>
          <w:rFonts w:hint="eastAsia" w:ascii="仿宋" w:hAnsi="仿宋" w:eastAsia="仿宋" w:cs="仿宋"/>
          <w:kern w:val="0"/>
          <w:szCs w:val="21"/>
          <w:highlight w:val="none"/>
        </w:rPr>
        <w:t>受</w:t>
      </w:r>
      <w:r>
        <w:rPr>
          <w:rFonts w:hint="eastAsia" w:ascii="仿宋" w:hAnsi="仿宋" w:eastAsia="仿宋" w:cs="仿宋"/>
          <w:kern w:val="0"/>
          <w:szCs w:val="21"/>
          <w:highlight w:val="none"/>
          <w:u w:val="single"/>
        </w:rPr>
        <w:t>扬州市建盛公用事业发展有限公司</w:t>
      </w:r>
      <w:r>
        <w:rPr>
          <w:rFonts w:hint="eastAsia" w:ascii="仿宋" w:hAnsi="仿宋" w:eastAsia="仿宋" w:cs="仿宋"/>
          <w:kern w:val="0"/>
          <w:szCs w:val="21"/>
          <w:highlight w:val="none"/>
        </w:rPr>
        <w:t>的委托，</w:t>
      </w:r>
      <w:r>
        <w:rPr>
          <w:rFonts w:hint="eastAsia" w:ascii="仿宋" w:hAnsi="仿宋" w:eastAsia="仿宋" w:cs="仿宋"/>
          <w:kern w:val="0"/>
          <w:szCs w:val="21"/>
          <w:highlight w:val="none"/>
          <w:u w:val="single"/>
        </w:rPr>
        <w:t>江苏省鼎诚建设工程顾问有限公司</w:t>
      </w:r>
      <w:r>
        <w:rPr>
          <w:rFonts w:hint="eastAsia" w:ascii="仿宋" w:hAnsi="仿宋" w:eastAsia="仿宋" w:cs="仿宋"/>
          <w:kern w:val="0"/>
          <w:szCs w:val="21"/>
          <w:highlight w:val="none"/>
        </w:rPr>
        <w:t>就</w:t>
      </w:r>
      <w:r>
        <w:rPr>
          <w:rFonts w:hint="eastAsia" w:ascii="仿宋" w:hAnsi="仿宋" w:eastAsia="仿宋" w:cs="仿宋"/>
          <w:kern w:val="0"/>
          <w:szCs w:val="21"/>
          <w:highlight w:val="none"/>
          <w:u w:val="single"/>
          <w:lang w:eastAsia="zh-CN"/>
        </w:rPr>
        <w:t>2024-2025年建盛公司燃气表具采购项目</w:t>
      </w:r>
      <w:r>
        <w:rPr>
          <w:rFonts w:hint="eastAsia" w:ascii="仿宋" w:hAnsi="仿宋" w:eastAsia="仿宋" w:cs="仿宋"/>
          <w:kern w:val="0"/>
          <w:szCs w:val="21"/>
          <w:highlight w:val="none"/>
        </w:rPr>
        <w:t>（项目编号：JSDC-G-20240612001）项目进行公开招标，欢迎符合条件的投标人投标。</w:t>
      </w:r>
    </w:p>
    <w:p>
      <w:pPr>
        <w:pBdr>
          <w:top w:val="single" w:color="auto" w:sz="4" w:space="1"/>
          <w:left w:val="single" w:color="auto" w:sz="4" w:space="4"/>
          <w:bottom w:val="single" w:color="auto" w:sz="4" w:space="1"/>
          <w:right w:val="single" w:color="auto" w:sz="4" w:space="4"/>
        </w:pBd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项目概况</w:t>
      </w:r>
    </w:p>
    <w:p>
      <w:pPr>
        <w:pBdr>
          <w:top w:val="single" w:color="auto" w:sz="4" w:space="1"/>
          <w:left w:val="single" w:color="auto" w:sz="4" w:space="4"/>
          <w:bottom w:val="single" w:color="auto" w:sz="4" w:space="1"/>
          <w:right w:val="single" w:color="auto" w:sz="4" w:space="4"/>
        </w:pBd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扬州市建盛公用事业发展有限公司的</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u w:val="single"/>
          <w:lang w:eastAsia="zh-CN"/>
        </w:rPr>
        <w:t>2024-2025年建盛公司燃气表具采购项目</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招标项目的潜在投标人可在</w:t>
      </w:r>
      <w:r>
        <w:rPr>
          <w:rFonts w:hint="eastAsia" w:ascii="仿宋" w:hAnsi="仿宋" w:eastAsia="仿宋" w:cs="仿宋"/>
          <w:kern w:val="0"/>
          <w:szCs w:val="21"/>
          <w:highlight w:val="none"/>
          <w:u w:val="single"/>
        </w:rPr>
        <w:t xml:space="preserve">江苏省鼎诚建设工程顾问有限公司招标代理部现场获取 </w:t>
      </w:r>
      <w:r>
        <w:rPr>
          <w:rFonts w:hint="eastAsia" w:ascii="仿宋" w:hAnsi="仿宋" w:eastAsia="仿宋" w:cs="仿宋"/>
          <w:kern w:val="0"/>
          <w:szCs w:val="21"/>
          <w:highlight w:val="none"/>
        </w:rPr>
        <w:t>招标文件，并于</w:t>
      </w:r>
      <w:r>
        <w:rPr>
          <w:rFonts w:hint="eastAsia" w:ascii="仿宋" w:hAnsi="仿宋" w:eastAsia="仿宋" w:cs="仿宋"/>
          <w:kern w:val="0"/>
          <w:szCs w:val="21"/>
          <w:highlight w:val="none"/>
          <w:u w:val="single"/>
        </w:rPr>
        <w:t xml:space="preserve"> 2024年</w:t>
      </w:r>
      <w:r>
        <w:rPr>
          <w:rFonts w:hint="eastAsia" w:ascii="仿宋" w:hAnsi="仿宋" w:eastAsia="仿宋" w:cs="仿宋"/>
          <w:kern w:val="0"/>
          <w:szCs w:val="21"/>
          <w:highlight w:val="none"/>
          <w:u w:val="single"/>
          <w:lang w:eastAsia="zh-CN"/>
        </w:rPr>
        <w:t>08月26日</w:t>
      </w:r>
      <w:r>
        <w:rPr>
          <w:rFonts w:hint="eastAsia" w:ascii="仿宋" w:hAnsi="仿宋" w:eastAsia="仿宋" w:cs="仿宋"/>
          <w:kern w:val="0"/>
          <w:szCs w:val="21"/>
          <w:highlight w:val="none"/>
          <w:u w:val="single"/>
        </w:rPr>
        <w:t>09</w:t>
      </w:r>
      <w:r>
        <w:rPr>
          <w:rFonts w:hint="eastAsia" w:ascii="仿宋" w:hAnsi="仿宋" w:eastAsia="仿宋" w:cs="仿宋"/>
          <w:bCs/>
          <w:kern w:val="0"/>
          <w:szCs w:val="21"/>
          <w:highlight w:val="none"/>
          <w:u w:val="single"/>
        </w:rPr>
        <w:t>时30分（</w:t>
      </w:r>
      <w:r>
        <w:rPr>
          <w:rFonts w:hint="eastAsia" w:ascii="仿宋" w:hAnsi="仿宋" w:eastAsia="仿宋" w:cs="仿宋"/>
          <w:bCs/>
          <w:kern w:val="0"/>
          <w:szCs w:val="21"/>
          <w:highlight w:val="none"/>
        </w:rPr>
        <w:t>北京时间）前递交投标文件</w:t>
      </w:r>
      <w:r>
        <w:rPr>
          <w:rFonts w:hint="eastAsia" w:ascii="仿宋" w:hAnsi="仿宋" w:eastAsia="仿宋" w:cs="仿宋"/>
          <w:kern w:val="0"/>
          <w:szCs w:val="21"/>
          <w:highlight w:val="none"/>
        </w:rPr>
        <w:t>。</w:t>
      </w:r>
    </w:p>
    <w:p>
      <w:pPr>
        <w:wordWrap w:val="0"/>
        <w:topLinePunct/>
        <w:snapToGrid w:val="0"/>
        <w:spacing w:line="360" w:lineRule="auto"/>
        <w:ind w:firstLine="327" w:firstLineChars="155"/>
        <w:outlineLvl w:val="2"/>
        <w:rPr>
          <w:rFonts w:ascii="仿宋" w:hAnsi="仿宋" w:eastAsia="仿宋" w:cs="仿宋"/>
          <w:b/>
          <w:bCs/>
          <w:kern w:val="0"/>
          <w:szCs w:val="21"/>
          <w:highlight w:val="none"/>
        </w:rPr>
      </w:pPr>
      <w:bookmarkStart w:id="3" w:name="_Toc38985263"/>
      <w:bookmarkStart w:id="4" w:name="_Toc28359079"/>
      <w:bookmarkStart w:id="5" w:name="_Toc35393790"/>
      <w:bookmarkStart w:id="6" w:name="_Toc28359002"/>
      <w:bookmarkStart w:id="7" w:name="_Toc35393621"/>
      <w:bookmarkStart w:id="8" w:name="_Hlk24379207"/>
      <w:r>
        <w:rPr>
          <w:rFonts w:hint="eastAsia" w:ascii="仿宋" w:hAnsi="仿宋" w:eastAsia="仿宋" w:cs="仿宋"/>
          <w:b/>
          <w:bCs/>
          <w:kern w:val="0"/>
          <w:szCs w:val="21"/>
          <w:highlight w:val="none"/>
        </w:rPr>
        <w:t>一、项目基本情况</w:t>
      </w:r>
      <w:bookmarkEnd w:id="3"/>
      <w:bookmarkEnd w:id="4"/>
      <w:bookmarkEnd w:id="5"/>
      <w:bookmarkEnd w:id="6"/>
      <w:bookmarkEnd w:id="7"/>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1.项目编号：JSDC-G-20240612001</w:t>
      </w:r>
    </w:p>
    <w:p>
      <w:pPr>
        <w:wordWrap w:val="0"/>
        <w:topLinePunct/>
        <w:snapToGrid w:val="0"/>
        <w:spacing w:line="360" w:lineRule="auto"/>
        <w:ind w:firstLine="420" w:firstLineChars="200"/>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2.项目名称：</w:t>
      </w:r>
      <w:r>
        <w:rPr>
          <w:rFonts w:hint="eastAsia" w:ascii="仿宋" w:hAnsi="仿宋" w:eastAsia="仿宋" w:cs="仿宋"/>
          <w:kern w:val="0"/>
          <w:szCs w:val="21"/>
          <w:highlight w:val="none"/>
          <w:lang w:eastAsia="zh-CN"/>
        </w:rPr>
        <w:t>2024-2025年建盛公司燃气表具采购项目</w:t>
      </w:r>
    </w:p>
    <w:bookmarkEnd w:id="8"/>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3.采购方式：竞争性磋商   ☑公开招标   □询价</w:t>
      </w:r>
    </w:p>
    <w:p>
      <w:pPr>
        <w:wordWrap w:val="0"/>
        <w:topLinePunct/>
        <w:snapToGrid w:val="0"/>
        <w:spacing w:line="360" w:lineRule="auto"/>
        <w:ind w:firstLine="420" w:firstLineChars="200"/>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4.预算金额：</w:t>
      </w:r>
      <w:r>
        <w:rPr>
          <w:rFonts w:hint="eastAsia" w:ascii="仿宋" w:hAnsi="仿宋" w:eastAsia="仿宋" w:cs="仿宋"/>
          <w:kern w:val="0"/>
          <w:szCs w:val="21"/>
          <w:highlight w:val="none"/>
          <w:lang w:eastAsia="zh-CN"/>
        </w:rPr>
        <w:t>844000元</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5.本项目设置最高限价：最高限价为</w:t>
      </w:r>
      <w:r>
        <w:rPr>
          <w:rFonts w:hint="eastAsia" w:ascii="仿宋" w:hAnsi="仿宋" w:eastAsia="仿宋" w:cs="仿宋"/>
          <w:kern w:val="0"/>
          <w:szCs w:val="21"/>
          <w:highlight w:val="none"/>
          <w:lang w:eastAsia="zh-CN"/>
        </w:rPr>
        <w:t>844000元</w:t>
      </w:r>
      <w:r>
        <w:rPr>
          <w:rFonts w:hint="eastAsia" w:ascii="仿宋" w:hAnsi="仿宋" w:eastAsia="仿宋" w:cs="仿宋"/>
          <w:kern w:val="0"/>
          <w:szCs w:val="21"/>
          <w:highlight w:val="none"/>
        </w:rPr>
        <w:t>（其中物联网膜式燃气表最高投标单价为250元、机械膜式燃气表最高投标单价为</w:t>
      </w:r>
      <w:r>
        <w:rPr>
          <w:rFonts w:hint="eastAsia" w:ascii="仿宋" w:hAnsi="仿宋" w:eastAsia="仿宋" w:cs="仿宋"/>
          <w:kern w:val="0"/>
          <w:szCs w:val="21"/>
          <w:highlight w:val="none"/>
          <w:lang w:eastAsia="zh-CN"/>
        </w:rPr>
        <w:t>92</w:t>
      </w:r>
      <w:r>
        <w:rPr>
          <w:rFonts w:hint="eastAsia" w:ascii="仿宋" w:hAnsi="仿宋" w:eastAsia="仿宋" w:cs="仿宋"/>
          <w:kern w:val="0"/>
          <w:szCs w:val="21"/>
          <w:highlight w:val="none"/>
        </w:rPr>
        <w:t>元），报价超过最高限价的为无效报价，按照无效响应处理；</w:t>
      </w:r>
    </w:p>
    <w:p>
      <w:pPr>
        <w:wordWrap w:val="0"/>
        <w:topLinePunct/>
        <w:snapToGrid w:val="0"/>
        <w:spacing w:line="360" w:lineRule="auto"/>
        <w:ind w:firstLine="420" w:firstLineChars="200"/>
        <w:rPr>
          <w:rFonts w:ascii="仿宋" w:hAnsi="仿宋" w:eastAsia="仿宋" w:cs="仿宋"/>
          <w:kern w:val="0"/>
          <w:szCs w:val="21"/>
          <w:highlight w:val="none"/>
        </w:rPr>
      </w:pPr>
      <w:bookmarkStart w:id="9" w:name="_Toc35393622"/>
      <w:bookmarkStart w:id="10" w:name="_Toc28359003"/>
      <w:bookmarkStart w:id="11" w:name="_Toc35393791"/>
      <w:bookmarkStart w:id="12" w:name="_Toc28359080"/>
      <w:bookmarkStart w:id="13" w:name="_Toc38985264"/>
      <w:r>
        <w:rPr>
          <w:rFonts w:hint="eastAsia" w:ascii="仿宋" w:hAnsi="仿宋" w:eastAsia="仿宋" w:cs="仿宋"/>
          <w:kern w:val="0"/>
          <w:szCs w:val="21"/>
          <w:highlight w:val="none"/>
        </w:rPr>
        <w:t>6、采购需求：物联网膜式燃气表约800块，机械膜式燃气表约7000块，实际以甲方实际采购数量为准。具体详见第四章 项目需求。</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7、合同履行期限：</w:t>
      </w:r>
      <w:r>
        <w:rPr>
          <w:rFonts w:hint="eastAsia" w:ascii="仿宋" w:hAnsi="仿宋" w:eastAsia="仿宋" w:cs="仿宋"/>
          <w:kern w:val="0"/>
          <w:szCs w:val="21"/>
          <w:highlight w:val="none"/>
          <w:u w:val="single"/>
        </w:rPr>
        <w:t>合同签订之日起10日历天内</w:t>
      </w:r>
      <w:r>
        <w:rPr>
          <w:rFonts w:hint="eastAsia" w:ascii="仿宋" w:hAnsi="仿宋" w:eastAsia="仿宋" w:cs="仿宋"/>
          <w:kern w:val="0"/>
          <w:szCs w:val="21"/>
          <w:highlight w:val="none"/>
        </w:rPr>
        <w:t>。</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8.本项目</w:t>
      </w:r>
      <w:r>
        <w:rPr>
          <w:rFonts w:hint="eastAsia" w:ascii="仿宋" w:hAnsi="仿宋" w:eastAsia="仿宋" w:cs="仿宋"/>
          <w:kern w:val="0"/>
          <w:szCs w:val="21"/>
          <w:highlight w:val="none"/>
          <w:u w:val="single"/>
        </w:rPr>
        <w:t>不接受</w:t>
      </w:r>
      <w:r>
        <w:rPr>
          <w:rFonts w:hint="eastAsia" w:ascii="仿宋" w:hAnsi="仿宋" w:eastAsia="仿宋" w:cs="仿宋"/>
          <w:kern w:val="0"/>
          <w:szCs w:val="21"/>
          <w:highlight w:val="none"/>
        </w:rPr>
        <w:t>联合体投标。</w:t>
      </w:r>
    </w:p>
    <w:p>
      <w:pPr>
        <w:wordWrap w:val="0"/>
        <w:topLinePunct/>
        <w:snapToGrid w:val="0"/>
        <w:spacing w:line="360" w:lineRule="auto"/>
        <w:ind w:firstLine="327" w:firstLineChars="155"/>
        <w:outlineLvl w:val="2"/>
        <w:rPr>
          <w:rFonts w:ascii="仿宋" w:hAnsi="仿宋" w:eastAsia="仿宋" w:cs="仿宋"/>
          <w:b/>
          <w:bCs/>
          <w:kern w:val="0"/>
          <w:szCs w:val="21"/>
          <w:highlight w:val="none"/>
        </w:rPr>
      </w:pPr>
      <w:r>
        <w:rPr>
          <w:rFonts w:hint="eastAsia" w:ascii="仿宋" w:hAnsi="仿宋" w:eastAsia="仿宋" w:cs="仿宋"/>
          <w:b/>
          <w:bCs/>
          <w:kern w:val="0"/>
          <w:szCs w:val="21"/>
          <w:highlight w:val="none"/>
        </w:rPr>
        <w:t>二、申请人的资格要求：</w:t>
      </w:r>
      <w:bookmarkEnd w:id="9"/>
      <w:bookmarkEnd w:id="10"/>
      <w:bookmarkEnd w:id="11"/>
      <w:bookmarkEnd w:id="12"/>
      <w:bookmarkEnd w:id="13"/>
    </w:p>
    <w:p>
      <w:pPr>
        <w:wordWrap w:val="0"/>
        <w:topLinePunct/>
        <w:snapToGrid w:val="0"/>
        <w:spacing w:line="360" w:lineRule="auto"/>
        <w:ind w:firstLine="420" w:firstLineChars="200"/>
        <w:rPr>
          <w:rFonts w:ascii="仿宋" w:hAnsi="仿宋" w:eastAsia="仿宋" w:cs="仿宋"/>
          <w:kern w:val="0"/>
          <w:szCs w:val="21"/>
          <w:highlight w:val="none"/>
        </w:rPr>
      </w:pPr>
      <w:bookmarkStart w:id="14" w:name="_Toc28359004"/>
      <w:bookmarkStart w:id="15" w:name="_Toc35393792"/>
      <w:bookmarkStart w:id="16" w:name="_Toc38985265"/>
      <w:bookmarkStart w:id="17" w:name="_Toc28359081"/>
      <w:bookmarkStart w:id="18" w:name="_Toc35393623"/>
      <w:r>
        <w:rPr>
          <w:rFonts w:hint="eastAsia" w:ascii="仿宋" w:hAnsi="仿宋" w:eastAsia="仿宋" w:cs="仿宋"/>
          <w:kern w:val="0"/>
          <w:szCs w:val="21"/>
          <w:highlight w:val="none"/>
        </w:rPr>
        <w:t>（一）通用资格要求</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1、满足《中华人民共和国政府采购法》第二十二条规定，并提供下列材料：</w:t>
      </w:r>
    </w:p>
    <w:p>
      <w:pPr>
        <w:wordWrap w:val="0"/>
        <w:topLinePunct/>
        <w:snapToGrid w:val="0"/>
        <w:spacing w:line="360" w:lineRule="auto"/>
        <w:ind w:firstLine="420" w:firstLineChars="200"/>
        <w:rPr>
          <w:rFonts w:ascii="仿宋" w:hAnsi="仿宋" w:eastAsia="仿宋" w:cs="仿宋"/>
          <w:b/>
          <w:bCs/>
          <w:i/>
          <w:iCs/>
          <w:kern w:val="0"/>
          <w:szCs w:val="21"/>
          <w:highlight w:val="none"/>
          <w:u w:val="single"/>
        </w:rPr>
      </w:pPr>
      <w:r>
        <w:rPr>
          <w:rFonts w:hint="eastAsia" w:ascii="仿宋" w:hAnsi="仿宋" w:eastAsia="仿宋" w:cs="仿宋"/>
          <w:i/>
          <w:iCs/>
          <w:kern w:val="0"/>
          <w:szCs w:val="21"/>
          <w:highlight w:val="none"/>
          <w:u w:val="single"/>
        </w:rPr>
        <w:t>1.1法人或者其他组织的营业执照等证明文件，自然人的身份证明（身份证为正、反面）</w:t>
      </w:r>
      <w:r>
        <w:rPr>
          <w:rFonts w:hint="eastAsia" w:ascii="仿宋" w:hAnsi="仿宋" w:eastAsia="仿宋" w:cs="仿宋"/>
          <w:b/>
          <w:bCs/>
          <w:i/>
          <w:iCs/>
          <w:kern w:val="0"/>
          <w:szCs w:val="21"/>
          <w:highlight w:val="none"/>
          <w:u w:val="single"/>
        </w:rPr>
        <w:t>（复印件加盖公章）；</w:t>
      </w:r>
    </w:p>
    <w:p>
      <w:pPr>
        <w:wordWrap w:val="0"/>
        <w:topLinePunct/>
        <w:snapToGrid w:val="0"/>
        <w:spacing w:line="360" w:lineRule="auto"/>
        <w:ind w:firstLine="420" w:firstLineChars="200"/>
        <w:rPr>
          <w:rFonts w:ascii="仿宋" w:hAnsi="仿宋" w:eastAsia="仿宋" w:cs="仿宋"/>
          <w:b/>
          <w:bCs/>
          <w:i/>
          <w:iCs/>
          <w:kern w:val="0"/>
          <w:szCs w:val="21"/>
          <w:highlight w:val="none"/>
          <w:u w:val="single"/>
        </w:rPr>
      </w:pPr>
      <w:r>
        <w:rPr>
          <w:rFonts w:hint="eastAsia" w:ascii="仿宋" w:hAnsi="仿宋" w:eastAsia="仿宋" w:cs="仿宋"/>
          <w:i/>
          <w:iCs/>
          <w:kern w:val="0"/>
          <w:szCs w:val="21"/>
          <w:highlight w:val="none"/>
          <w:u w:val="single"/>
        </w:rPr>
        <w:t>1.2依法缴纳职工社会保障资金的证明材料(税务、银行或社会保险基金管理部门出具的近三个月内（</w:t>
      </w:r>
      <w:r>
        <w:rPr>
          <w:rFonts w:hint="eastAsia" w:ascii="仿宋" w:hAnsi="仿宋" w:eastAsia="仿宋" w:cs="仿宋"/>
          <w:i/>
          <w:iCs/>
          <w:kern w:val="0"/>
          <w:szCs w:val="21"/>
          <w:highlight w:val="none"/>
          <w:u w:val="single"/>
          <w:lang w:eastAsia="zh-CN"/>
        </w:rPr>
        <w:t>2024年05月至2024年07月</w:t>
      </w:r>
      <w:r>
        <w:rPr>
          <w:rFonts w:hint="eastAsia" w:ascii="仿宋" w:hAnsi="仿宋" w:eastAsia="仿宋" w:cs="仿宋"/>
          <w:i/>
          <w:iCs/>
          <w:kern w:val="0"/>
          <w:szCs w:val="21"/>
          <w:highlight w:val="none"/>
          <w:u w:val="single"/>
        </w:rPr>
        <w:t>）任意一个月缴纳职工社会保障资金的缴款凭证或缴款证明)（供应商依法享受缓缴、免缴的提供证明材料）</w:t>
      </w:r>
      <w:r>
        <w:rPr>
          <w:rFonts w:hint="eastAsia" w:ascii="仿宋" w:hAnsi="仿宋" w:eastAsia="仿宋" w:cs="仿宋"/>
          <w:b/>
          <w:bCs/>
          <w:i/>
          <w:iCs/>
          <w:kern w:val="0"/>
          <w:szCs w:val="21"/>
          <w:highlight w:val="none"/>
          <w:u w:val="single"/>
        </w:rPr>
        <w:t>（复印件加盖公章）；</w:t>
      </w:r>
    </w:p>
    <w:p>
      <w:pPr>
        <w:wordWrap w:val="0"/>
        <w:topLinePunct/>
        <w:snapToGrid w:val="0"/>
        <w:spacing w:line="360" w:lineRule="auto"/>
        <w:ind w:firstLine="420" w:firstLineChars="200"/>
        <w:rPr>
          <w:rFonts w:ascii="仿宋" w:hAnsi="仿宋" w:eastAsia="仿宋" w:cs="仿宋"/>
          <w:i/>
          <w:iCs/>
          <w:kern w:val="0"/>
          <w:szCs w:val="21"/>
          <w:highlight w:val="none"/>
          <w:u w:val="single"/>
        </w:rPr>
      </w:pPr>
      <w:r>
        <w:rPr>
          <w:rFonts w:hint="eastAsia" w:ascii="仿宋" w:hAnsi="仿宋" w:eastAsia="仿宋" w:cs="仿宋"/>
          <w:i/>
          <w:iCs/>
          <w:kern w:val="0"/>
          <w:szCs w:val="21"/>
          <w:highlight w:val="none"/>
          <w:u w:val="single"/>
        </w:rPr>
        <w:t>1.3供应商出具的近三个月内（</w:t>
      </w:r>
      <w:r>
        <w:rPr>
          <w:rFonts w:hint="eastAsia" w:ascii="仿宋" w:hAnsi="仿宋" w:eastAsia="仿宋" w:cs="仿宋"/>
          <w:i/>
          <w:iCs/>
          <w:kern w:val="0"/>
          <w:szCs w:val="21"/>
          <w:highlight w:val="none"/>
          <w:u w:val="single"/>
          <w:lang w:eastAsia="zh-CN"/>
        </w:rPr>
        <w:t>2024年05月至2024年07月</w:t>
      </w:r>
      <w:r>
        <w:rPr>
          <w:rFonts w:hint="eastAsia" w:ascii="仿宋" w:hAnsi="仿宋" w:eastAsia="仿宋" w:cs="仿宋"/>
          <w:i/>
          <w:iCs/>
          <w:kern w:val="0"/>
          <w:szCs w:val="21"/>
          <w:highlight w:val="none"/>
          <w:u w:val="single"/>
        </w:rPr>
        <w:t>）任意一份依法纳税的缴款凭证（供应商依法享受缓缴、免缴的提供证明材料）</w:t>
      </w:r>
      <w:r>
        <w:rPr>
          <w:rFonts w:hint="eastAsia" w:ascii="仿宋" w:hAnsi="仿宋" w:eastAsia="仿宋" w:cs="仿宋"/>
          <w:b/>
          <w:bCs/>
          <w:i/>
          <w:iCs/>
          <w:kern w:val="0"/>
          <w:szCs w:val="21"/>
          <w:highlight w:val="none"/>
          <w:u w:val="single"/>
        </w:rPr>
        <w:t>（复印件加盖公章）；</w:t>
      </w:r>
    </w:p>
    <w:p>
      <w:pPr>
        <w:wordWrap w:val="0"/>
        <w:topLinePunct/>
        <w:snapToGrid w:val="0"/>
        <w:spacing w:line="360" w:lineRule="auto"/>
        <w:ind w:firstLine="420" w:firstLineChars="200"/>
        <w:rPr>
          <w:rFonts w:ascii="仿宋" w:hAnsi="仿宋" w:eastAsia="仿宋" w:cs="仿宋"/>
          <w:i/>
          <w:iCs/>
          <w:kern w:val="0"/>
          <w:szCs w:val="21"/>
          <w:highlight w:val="none"/>
          <w:u w:val="single"/>
        </w:rPr>
      </w:pPr>
      <w:r>
        <w:rPr>
          <w:rFonts w:hint="eastAsia" w:ascii="仿宋" w:hAnsi="仿宋" w:eastAsia="仿宋" w:cs="仿宋"/>
          <w:i/>
          <w:iCs/>
          <w:kern w:val="0"/>
          <w:szCs w:val="21"/>
          <w:highlight w:val="none"/>
          <w:u w:val="single"/>
        </w:rPr>
        <w:t>1.4上一年度（2022年度或2023年度）的财务报告情况（成立不满一年不需提供）</w:t>
      </w:r>
      <w:r>
        <w:rPr>
          <w:rFonts w:hint="eastAsia" w:ascii="仿宋" w:hAnsi="仿宋" w:eastAsia="仿宋" w:cs="仿宋"/>
          <w:b/>
          <w:bCs/>
          <w:i/>
          <w:iCs/>
          <w:kern w:val="0"/>
          <w:szCs w:val="21"/>
          <w:highlight w:val="none"/>
          <w:u w:val="single"/>
        </w:rPr>
        <w:t>（复印件加盖公章）；</w:t>
      </w:r>
    </w:p>
    <w:p>
      <w:pPr>
        <w:wordWrap w:val="0"/>
        <w:topLinePunct/>
        <w:snapToGrid w:val="0"/>
        <w:spacing w:line="360" w:lineRule="auto"/>
        <w:ind w:firstLine="420" w:firstLineChars="200"/>
        <w:rPr>
          <w:rFonts w:ascii="仿宋" w:hAnsi="仿宋" w:eastAsia="仿宋" w:cs="仿宋"/>
          <w:i/>
          <w:iCs/>
          <w:kern w:val="0"/>
          <w:szCs w:val="21"/>
          <w:highlight w:val="none"/>
          <w:u w:val="single"/>
        </w:rPr>
      </w:pPr>
      <w:r>
        <w:rPr>
          <w:rFonts w:hint="eastAsia" w:ascii="仿宋" w:hAnsi="仿宋" w:eastAsia="仿宋" w:cs="仿宋"/>
          <w:i/>
          <w:iCs/>
          <w:kern w:val="0"/>
          <w:szCs w:val="21"/>
          <w:highlight w:val="none"/>
          <w:u w:val="single"/>
        </w:rPr>
        <w:t>1.5具备履行合同所必需的设备和专业技术能力的证明材料</w:t>
      </w:r>
      <w:r>
        <w:rPr>
          <w:rFonts w:hint="eastAsia" w:ascii="仿宋" w:hAnsi="仿宋" w:eastAsia="仿宋" w:cs="仿宋"/>
          <w:b/>
          <w:bCs/>
          <w:i/>
          <w:iCs/>
          <w:kern w:val="0"/>
          <w:szCs w:val="21"/>
          <w:highlight w:val="none"/>
          <w:u w:val="single"/>
        </w:rPr>
        <w:t>（复印件加盖公章）；</w:t>
      </w:r>
    </w:p>
    <w:p>
      <w:pPr>
        <w:wordWrap w:val="0"/>
        <w:topLinePunct/>
        <w:snapToGrid w:val="0"/>
        <w:spacing w:line="360" w:lineRule="auto"/>
        <w:ind w:firstLine="420" w:firstLineChars="200"/>
        <w:rPr>
          <w:rFonts w:ascii="仿宋" w:hAnsi="仿宋" w:eastAsia="仿宋" w:cs="仿宋"/>
          <w:b/>
          <w:bCs/>
          <w:i/>
          <w:iCs/>
          <w:kern w:val="0"/>
          <w:szCs w:val="21"/>
          <w:highlight w:val="none"/>
          <w:u w:val="single"/>
        </w:rPr>
      </w:pPr>
      <w:r>
        <w:rPr>
          <w:rFonts w:hint="eastAsia" w:ascii="仿宋" w:hAnsi="仿宋" w:eastAsia="仿宋" w:cs="仿宋"/>
          <w:i/>
          <w:iCs/>
          <w:kern w:val="0"/>
          <w:szCs w:val="21"/>
          <w:highlight w:val="none"/>
          <w:u w:val="single"/>
        </w:rPr>
        <w:t>1.6参加本次政府采购活动前3年内在经营活动中没有重大违法记录的书面声明</w:t>
      </w:r>
      <w:r>
        <w:rPr>
          <w:rFonts w:hint="eastAsia" w:ascii="仿宋" w:hAnsi="仿宋" w:eastAsia="仿宋" w:cs="仿宋"/>
          <w:b/>
          <w:bCs/>
          <w:i/>
          <w:iCs/>
          <w:kern w:val="0"/>
          <w:szCs w:val="21"/>
          <w:highlight w:val="none"/>
          <w:u w:val="single"/>
        </w:rPr>
        <w:t>（复印件加盖公章）；</w:t>
      </w:r>
    </w:p>
    <w:p>
      <w:pPr>
        <w:wordWrap w:val="0"/>
        <w:topLinePunct/>
        <w:snapToGrid w:val="0"/>
        <w:spacing w:line="360" w:lineRule="auto"/>
        <w:ind w:firstLine="420" w:firstLineChars="200"/>
        <w:rPr>
          <w:rFonts w:ascii="仿宋" w:hAnsi="仿宋" w:eastAsia="仿宋" w:cs="仿宋"/>
          <w:i/>
          <w:iCs/>
          <w:kern w:val="0"/>
          <w:szCs w:val="21"/>
          <w:highlight w:val="none"/>
          <w:u w:val="single"/>
        </w:rPr>
      </w:pPr>
      <w:r>
        <w:rPr>
          <w:rFonts w:hint="eastAsia" w:ascii="仿宋" w:hAnsi="仿宋" w:eastAsia="仿宋" w:cs="仿宋"/>
          <w:i/>
          <w:iCs/>
          <w:kern w:val="0"/>
          <w:szCs w:val="21"/>
          <w:highlight w:val="none"/>
          <w:u w:val="single"/>
        </w:rPr>
        <w:t>1.7未被“信用中国”网站（www.creditchina.gov.cn）、“中国政府采购网"(www.ccgp.gov.cn)列入失信被执行人、重大税收违法案件当事人名单、政府采购严重违法失信行为记录名单</w:t>
      </w:r>
      <w:r>
        <w:rPr>
          <w:rFonts w:hint="eastAsia" w:ascii="仿宋" w:hAnsi="仿宋" w:eastAsia="仿宋" w:cs="仿宋"/>
          <w:b/>
          <w:bCs/>
          <w:i/>
          <w:iCs/>
          <w:kern w:val="0"/>
          <w:szCs w:val="21"/>
          <w:highlight w:val="none"/>
          <w:u w:val="single"/>
        </w:rPr>
        <w:t>（提供网页查询截图并加盖供应商公章后扫描件，查询时间从公告发布之日起至投标截止时间止）</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i/>
          <w:iCs/>
          <w:kern w:val="0"/>
          <w:szCs w:val="21"/>
          <w:highlight w:val="none"/>
          <w:u w:val="single"/>
        </w:rPr>
        <w:t>1.8供应商信用承诺函</w:t>
      </w:r>
      <w:r>
        <w:rPr>
          <w:rFonts w:hint="eastAsia" w:ascii="仿宋" w:hAnsi="仿宋" w:eastAsia="仿宋" w:cs="仿宋"/>
          <w:b/>
          <w:bCs/>
          <w:i/>
          <w:iCs/>
          <w:kern w:val="0"/>
          <w:szCs w:val="21"/>
          <w:highlight w:val="none"/>
          <w:u w:val="single"/>
        </w:rPr>
        <w:t>（复印件加盖公章）；</w:t>
      </w:r>
    </w:p>
    <w:p>
      <w:pPr>
        <w:wordWrap w:val="0"/>
        <w:topLinePunct/>
        <w:snapToGrid w:val="0"/>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2、落实政府采购政策需满足的资格要求：</w:t>
      </w:r>
      <w:r>
        <w:rPr>
          <w:rFonts w:hint="eastAsia" w:ascii="仿宋" w:hAnsi="仿宋" w:eastAsia="仿宋" w:cs="仿宋"/>
          <w:i/>
          <w:iCs/>
          <w:kern w:val="0"/>
          <w:szCs w:val="21"/>
          <w:highlight w:val="none"/>
          <w:u w:val="single"/>
        </w:rPr>
        <w:t>根据江苏省财政厅苏财购【2020】52号文规定，本项目专门面向中小企业采购。投标人投标时须提供《中小企业申明函》，《中小企业申明函》不符合要求或未提供的，投标文件无效。本项目属于其他未列明行业。</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3.本项目的特定资格要求：</w:t>
      </w:r>
    </w:p>
    <w:p>
      <w:pPr>
        <w:wordWrap w:val="0"/>
        <w:topLinePunct/>
        <w:snapToGrid w:val="0"/>
        <w:spacing w:line="360" w:lineRule="auto"/>
        <w:ind w:firstLine="420" w:firstLineChars="200"/>
        <w:rPr>
          <w:rFonts w:ascii="仿宋" w:hAnsi="仿宋" w:eastAsia="仿宋" w:cs="仿宋"/>
          <w:i/>
          <w:iCs/>
          <w:kern w:val="0"/>
          <w:szCs w:val="21"/>
          <w:highlight w:val="none"/>
          <w:u w:val="single"/>
        </w:rPr>
      </w:pPr>
      <w:r>
        <w:rPr>
          <w:rFonts w:hint="eastAsia" w:ascii="仿宋" w:hAnsi="仿宋" w:eastAsia="仿宋" w:cs="仿宋"/>
          <w:i/>
          <w:iCs/>
          <w:kern w:val="0"/>
          <w:szCs w:val="21"/>
          <w:highlight w:val="none"/>
          <w:u w:val="single"/>
        </w:rPr>
        <w:t>3.1投标人必须是中华人民共和国境内注册的企业法人（营业执照复印件装订于投标文件中）；若投标人为代理商，则必须有产品销售授权，代理人具有针对本次投标的投标人法人授权委托书原件。</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i/>
          <w:iCs/>
          <w:kern w:val="0"/>
          <w:szCs w:val="21"/>
          <w:highlight w:val="none"/>
          <w:u w:val="single"/>
        </w:rPr>
        <w:t>3.2投标人或其代理的厂商应具有所投产品的计量器具型式批准证书并提供国家认证认可监督管理委员会批准的认证机构颁发的防爆合格证书和防护等级证书。</w:t>
      </w:r>
      <w:r>
        <w:rPr>
          <w:rFonts w:hint="eastAsia" w:ascii="仿宋" w:hAnsi="仿宋" w:eastAsia="仿宋" w:cs="仿宋"/>
          <w:b/>
          <w:bCs/>
          <w:i/>
          <w:iCs/>
          <w:kern w:val="0"/>
          <w:szCs w:val="21"/>
          <w:highlight w:val="none"/>
          <w:u w:val="single"/>
        </w:rPr>
        <w:t>（复印件加盖公章）。</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4.拒绝下述供应商参加本次采购活动：</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4.1供应商单位负责人为同一人或者存在直接控股、管理关系的不同供应商，不得参加同一合同项下的政府采购活动。</w:t>
      </w:r>
    </w:p>
    <w:p>
      <w:pPr>
        <w:wordWrap w:val="0"/>
        <w:topLinePunct/>
        <w:snapToGrid w:val="0"/>
        <w:spacing w:line="360" w:lineRule="auto"/>
        <w:ind w:firstLine="420" w:firstLineChars="200"/>
        <w:rPr>
          <w:rFonts w:ascii="仿宋" w:hAnsi="仿宋" w:eastAsia="仿宋" w:cs="仿宋"/>
          <w:i/>
          <w:iCs/>
          <w:kern w:val="0"/>
          <w:szCs w:val="21"/>
          <w:highlight w:val="none"/>
          <w:u w:val="single"/>
        </w:rPr>
      </w:pPr>
      <w:r>
        <w:rPr>
          <w:rFonts w:hint="eastAsia" w:ascii="仿宋" w:hAnsi="仿宋" w:eastAsia="仿宋" w:cs="仿宋"/>
          <w:kern w:val="0"/>
          <w:szCs w:val="21"/>
          <w:highlight w:val="none"/>
        </w:rPr>
        <w:t>4.2凡为采购项目提供整体设计、规范编制或者项目管理、监理、检测等服务的供应商，不得再参加该项目的其他采购活动。</w:t>
      </w:r>
    </w:p>
    <w:p>
      <w:pPr>
        <w:wordWrap w:val="0"/>
        <w:topLinePunct/>
        <w:snapToGrid w:val="0"/>
        <w:spacing w:line="360" w:lineRule="auto"/>
        <w:ind w:firstLine="422" w:firstLineChars="200"/>
        <w:rPr>
          <w:rFonts w:ascii="仿宋" w:hAnsi="仿宋" w:eastAsia="仿宋" w:cs="仿宋"/>
          <w:b/>
          <w:bCs/>
          <w:kern w:val="0"/>
          <w:szCs w:val="21"/>
          <w:highlight w:val="none"/>
        </w:rPr>
      </w:pPr>
      <w:r>
        <w:rPr>
          <w:rFonts w:hint="eastAsia" w:ascii="仿宋" w:hAnsi="仿宋" w:eastAsia="仿宋" w:cs="仿宋"/>
          <w:b/>
          <w:bCs/>
          <w:kern w:val="0"/>
          <w:szCs w:val="21"/>
          <w:highlight w:val="none"/>
        </w:rPr>
        <w:t>三、获取招标文件</w:t>
      </w:r>
      <w:bookmarkEnd w:id="14"/>
      <w:bookmarkEnd w:id="15"/>
      <w:bookmarkEnd w:id="16"/>
      <w:bookmarkEnd w:id="17"/>
      <w:bookmarkEnd w:id="18"/>
    </w:p>
    <w:p>
      <w:pPr>
        <w:wordWrap w:val="0"/>
        <w:topLinePunct/>
        <w:snapToGrid w:val="0"/>
        <w:spacing w:line="360" w:lineRule="auto"/>
        <w:ind w:firstLine="540"/>
        <w:rPr>
          <w:rFonts w:ascii="仿宋" w:hAnsi="仿宋" w:eastAsia="仿宋" w:cs="仿宋"/>
          <w:kern w:val="0"/>
          <w:szCs w:val="21"/>
          <w:highlight w:val="none"/>
        </w:rPr>
      </w:pPr>
      <w:bookmarkStart w:id="19" w:name="_Toc28359005"/>
      <w:bookmarkStart w:id="20" w:name="_Toc28359082"/>
      <w:bookmarkStart w:id="21" w:name="_Toc35393793"/>
      <w:bookmarkStart w:id="22" w:name="_Toc38985266"/>
      <w:bookmarkStart w:id="23" w:name="_Toc35393624"/>
      <w:r>
        <w:rPr>
          <w:rFonts w:hint="eastAsia" w:ascii="仿宋" w:hAnsi="仿宋" w:eastAsia="仿宋" w:cs="仿宋"/>
          <w:kern w:val="0"/>
          <w:szCs w:val="21"/>
          <w:highlight w:val="none"/>
        </w:rPr>
        <w:t>1.时间：</w:t>
      </w:r>
      <w:r>
        <w:rPr>
          <w:rFonts w:hint="eastAsia" w:ascii="仿宋" w:hAnsi="仿宋" w:eastAsia="仿宋" w:cs="仿宋"/>
          <w:kern w:val="0"/>
          <w:szCs w:val="21"/>
          <w:highlight w:val="none"/>
          <w:lang w:eastAsia="zh-CN"/>
        </w:rPr>
        <w:t>2024年0</w:t>
      </w:r>
      <w:r>
        <w:rPr>
          <w:rFonts w:hint="eastAsia" w:ascii="仿宋" w:hAnsi="仿宋" w:eastAsia="仿宋" w:cs="仿宋"/>
          <w:kern w:val="0"/>
          <w:szCs w:val="21"/>
          <w:highlight w:val="none"/>
          <w:lang w:val="en-US" w:eastAsia="zh-CN"/>
        </w:rPr>
        <w:t>8</w:t>
      </w:r>
      <w:r>
        <w:rPr>
          <w:rFonts w:hint="eastAsia" w:ascii="仿宋" w:hAnsi="仿宋" w:eastAsia="仿宋" w:cs="仿宋"/>
          <w:kern w:val="0"/>
          <w:szCs w:val="21"/>
          <w:highlight w:val="none"/>
          <w:lang w:eastAsia="zh-CN"/>
        </w:rPr>
        <w:t>月</w:t>
      </w:r>
      <w:r>
        <w:rPr>
          <w:rFonts w:hint="eastAsia" w:ascii="仿宋" w:hAnsi="仿宋" w:eastAsia="仿宋" w:cs="仿宋"/>
          <w:kern w:val="0"/>
          <w:szCs w:val="21"/>
          <w:highlight w:val="none"/>
          <w:lang w:val="en-US" w:eastAsia="zh-CN"/>
        </w:rPr>
        <w:t>06</w:t>
      </w:r>
      <w:r>
        <w:rPr>
          <w:rFonts w:hint="eastAsia" w:ascii="仿宋" w:hAnsi="仿宋" w:eastAsia="仿宋" w:cs="仿宋"/>
          <w:kern w:val="0"/>
          <w:szCs w:val="21"/>
          <w:highlight w:val="none"/>
          <w:lang w:eastAsia="zh-CN"/>
        </w:rPr>
        <w:t>日</w:t>
      </w:r>
      <w:r>
        <w:rPr>
          <w:rFonts w:hint="eastAsia" w:ascii="仿宋" w:hAnsi="仿宋" w:eastAsia="仿宋" w:cs="仿宋"/>
          <w:kern w:val="0"/>
          <w:szCs w:val="21"/>
          <w:highlight w:val="none"/>
        </w:rPr>
        <w:t>至2024年0</w:t>
      </w:r>
      <w:r>
        <w:rPr>
          <w:rFonts w:hint="eastAsia" w:ascii="仿宋" w:hAnsi="仿宋" w:eastAsia="仿宋" w:cs="仿宋"/>
          <w:kern w:val="0"/>
          <w:szCs w:val="21"/>
          <w:highlight w:val="none"/>
          <w:lang w:val="en-US" w:eastAsia="zh-CN"/>
        </w:rPr>
        <w:t>8</w:t>
      </w:r>
      <w:r>
        <w:rPr>
          <w:rFonts w:hint="eastAsia" w:ascii="仿宋" w:hAnsi="仿宋" w:eastAsia="仿宋" w:cs="仿宋"/>
          <w:kern w:val="0"/>
          <w:szCs w:val="21"/>
          <w:highlight w:val="none"/>
        </w:rPr>
        <w:t>月</w:t>
      </w:r>
      <w:r>
        <w:rPr>
          <w:rFonts w:hint="eastAsia" w:ascii="仿宋" w:hAnsi="仿宋" w:eastAsia="仿宋" w:cs="仿宋"/>
          <w:kern w:val="0"/>
          <w:szCs w:val="21"/>
          <w:highlight w:val="none"/>
          <w:lang w:val="en-US" w:eastAsia="zh-CN"/>
        </w:rPr>
        <w:t>12</w:t>
      </w:r>
      <w:bookmarkStart w:id="137" w:name="_GoBack"/>
      <w:bookmarkEnd w:id="137"/>
      <w:r>
        <w:rPr>
          <w:rFonts w:hint="eastAsia" w:ascii="仿宋" w:hAnsi="仿宋" w:eastAsia="仿宋" w:cs="仿宋"/>
          <w:kern w:val="0"/>
          <w:szCs w:val="21"/>
          <w:highlight w:val="none"/>
        </w:rPr>
        <w:t>日（法定公休日、法定节假日除外），每日上午9时至11时，下午2时至5时（北京时间）</w:t>
      </w:r>
    </w:p>
    <w:p>
      <w:pPr>
        <w:wordWrap w:val="0"/>
        <w:topLinePunct/>
        <w:snapToGrid w:val="0"/>
        <w:spacing w:line="360" w:lineRule="auto"/>
        <w:ind w:firstLine="540"/>
        <w:rPr>
          <w:rFonts w:ascii="仿宋" w:hAnsi="仿宋" w:eastAsia="仿宋" w:cs="仿宋"/>
          <w:kern w:val="0"/>
          <w:szCs w:val="21"/>
          <w:highlight w:val="none"/>
        </w:rPr>
      </w:pPr>
      <w:r>
        <w:rPr>
          <w:rFonts w:hint="eastAsia" w:ascii="仿宋" w:hAnsi="仿宋" w:eastAsia="仿宋" w:cs="仿宋"/>
          <w:kern w:val="0"/>
          <w:szCs w:val="21"/>
          <w:highlight w:val="none"/>
        </w:rPr>
        <w:t>2.地点：江苏省鼎诚建设工程顾问有限公司招标代理部（文昌西路450号国泰大厦1号楼16层）</w:t>
      </w:r>
    </w:p>
    <w:p>
      <w:pPr>
        <w:wordWrap w:val="0"/>
        <w:topLinePunct/>
        <w:snapToGrid w:val="0"/>
        <w:spacing w:line="360" w:lineRule="auto"/>
        <w:ind w:firstLine="540"/>
        <w:rPr>
          <w:rFonts w:ascii="仿宋" w:hAnsi="仿宋" w:eastAsia="仿宋" w:cs="仿宋"/>
          <w:kern w:val="0"/>
          <w:szCs w:val="21"/>
          <w:highlight w:val="none"/>
        </w:rPr>
      </w:pPr>
      <w:r>
        <w:rPr>
          <w:rFonts w:hint="eastAsia" w:ascii="仿宋" w:hAnsi="仿宋" w:eastAsia="仿宋" w:cs="仿宋"/>
          <w:kern w:val="0"/>
          <w:szCs w:val="21"/>
          <w:highlight w:val="none"/>
        </w:rPr>
        <w:t>3.方式：经办人携带授权委托书及营业执照副本复印件加盖公章，在江苏省鼎诚建设工程顾问有限公司招标代理部现场免费获取。</w:t>
      </w:r>
    </w:p>
    <w:p>
      <w:pPr>
        <w:wordWrap w:val="0"/>
        <w:topLinePunct/>
        <w:snapToGrid w:val="0"/>
        <w:spacing w:line="360" w:lineRule="auto"/>
        <w:ind w:firstLine="327" w:firstLineChars="155"/>
        <w:outlineLvl w:val="2"/>
        <w:rPr>
          <w:rFonts w:ascii="仿宋" w:hAnsi="仿宋" w:eastAsia="仿宋" w:cs="仿宋"/>
          <w:b/>
          <w:bCs/>
          <w:kern w:val="0"/>
          <w:szCs w:val="21"/>
          <w:highlight w:val="none"/>
        </w:rPr>
      </w:pPr>
      <w:r>
        <w:rPr>
          <w:rFonts w:hint="eastAsia" w:ascii="仿宋" w:hAnsi="仿宋" w:eastAsia="仿宋" w:cs="仿宋"/>
          <w:b/>
          <w:bCs/>
          <w:kern w:val="0"/>
          <w:szCs w:val="21"/>
          <w:highlight w:val="none"/>
        </w:rPr>
        <w:t>四、提交投标文件</w:t>
      </w:r>
      <w:bookmarkEnd w:id="19"/>
      <w:bookmarkEnd w:id="20"/>
      <w:r>
        <w:rPr>
          <w:rFonts w:hint="eastAsia" w:ascii="仿宋" w:hAnsi="仿宋" w:eastAsia="仿宋" w:cs="仿宋"/>
          <w:b/>
          <w:bCs/>
          <w:kern w:val="0"/>
          <w:szCs w:val="21"/>
          <w:highlight w:val="none"/>
        </w:rPr>
        <w:t>截止时间、开标时间和地点</w:t>
      </w:r>
      <w:bookmarkEnd w:id="21"/>
      <w:bookmarkEnd w:id="22"/>
      <w:bookmarkEnd w:id="23"/>
    </w:p>
    <w:p>
      <w:pPr>
        <w:wordWrap w:val="0"/>
        <w:topLinePunct/>
        <w:snapToGrid w:val="0"/>
        <w:spacing w:line="360" w:lineRule="auto"/>
        <w:ind w:firstLine="420" w:firstLineChars="200"/>
        <w:rPr>
          <w:rFonts w:ascii="仿宋" w:hAnsi="仿宋" w:eastAsia="仿宋" w:cs="仿宋"/>
          <w:bCs/>
          <w:kern w:val="0"/>
          <w:szCs w:val="21"/>
          <w:highlight w:val="none"/>
        </w:rPr>
      </w:pPr>
      <w:r>
        <w:rPr>
          <w:rFonts w:hint="eastAsia" w:ascii="仿宋" w:hAnsi="仿宋" w:eastAsia="仿宋" w:cs="仿宋"/>
          <w:bCs/>
          <w:kern w:val="0"/>
          <w:szCs w:val="21"/>
          <w:highlight w:val="none"/>
        </w:rPr>
        <w:t>1.</w:t>
      </w:r>
      <w:r>
        <w:rPr>
          <w:rFonts w:hint="eastAsia" w:ascii="仿宋" w:hAnsi="仿宋" w:eastAsia="仿宋" w:cs="仿宋"/>
          <w:kern w:val="0"/>
          <w:szCs w:val="21"/>
          <w:highlight w:val="none"/>
        </w:rPr>
        <w:t>提交投标文件截止时间：2024年</w:t>
      </w:r>
      <w:r>
        <w:rPr>
          <w:rFonts w:hint="eastAsia" w:ascii="仿宋" w:hAnsi="仿宋" w:eastAsia="仿宋" w:cs="仿宋"/>
          <w:kern w:val="0"/>
          <w:szCs w:val="21"/>
          <w:highlight w:val="none"/>
          <w:lang w:val="en-US" w:eastAsia="zh-CN"/>
        </w:rPr>
        <w:t>08月26日</w:t>
      </w:r>
      <w:r>
        <w:rPr>
          <w:rFonts w:hint="eastAsia" w:ascii="仿宋" w:hAnsi="仿宋" w:eastAsia="仿宋" w:cs="仿宋"/>
          <w:kern w:val="0"/>
          <w:szCs w:val="21"/>
          <w:highlight w:val="none"/>
        </w:rPr>
        <w:t>09时30分（北京时间）。</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2.开标时间：同提交投标文件截止时间</w:t>
      </w:r>
    </w:p>
    <w:p>
      <w:pPr>
        <w:wordWrap w:val="0"/>
        <w:topLinePunct/>
        <w:snapToGrid w:val="0"/>
        <w:spacing w:line="360" w:lineRule="auto"/>
        <w:ind w:firstLine="420" w:firstLineChars="200"/>
        <w:rPr>
          <w:rFonts w:ascii="仿宋" w:hAnsi="仿宋" w:eastAsia="仿宋" w:cs="仿宋"/>
          <w:bCs/>
          <w:kern w:val="0"/>
          <w:szCs w:val="21"/>
          <w:highlight w:val="none"/>
          <w:u w:val="single"/>
        </w:rPr>
      </w:pPr>
      <w:r>
        <w:rPr>
          <w:rFonts w:hint="eastAsia" w:ascii="仿宋" w:hAnsi="仿宋" w:eastAsia="仿宋" w:cs="仿宋"/>
          <w:kern w:val="0"/>
          <w:szCs w:val="21"/>
          <w:highlight w:val="none"/>
        </w:rPr>
        <w:t>3.开标地点：江苏省鼎诚建设工程顾问有限公司开标室（扬州市文昌西路450号国泰大厦1栋16楼）</w:t>
      </w:r>
    </w:p>
    <w:p>
      <w:pPr>
        <w:wordWrap w:val="0"/>
        <w:topLinePunct/>
        <w:snapToGrid w:val="0"/>
        <w:spacing w:line="360" w:lineRule="auto"/>
        <w:ind w:firstLine="327" w:firstLineChars="155"/>
        <w:outlineLvl w:val="2"/>
        <w:rPr>
          <w:rFonts w:ascii="仿宋" w:hAnsi="仿宋" w:eastAsia="仿宋" w:cs="仿宋"/>
          <w:b/>
          <w:bCs/>
          <w:kern w:val="0"/>
          <w:szCs w:val="21"/>
          <w:highlight w:val="none"/>
        </w:rPr>
      </w:pPr>
      <w:bookmarkStart w:id="24" w:name="_Toc28359007"/>
      <w:bookmarkStart w:id="25" w:name="_Toc38985267"/>
      <w:bookmarkStart w:id="26" w:name="_Toc28359084"/>
      <w:bookmarkStart w:id="27" w:name="_Toc35393794"/>
      <w:bookmarkStart w:id="28" w:name="_Toc35393625"/>
      <w:r>
        <w:rPr>
          <w:rFonts w:hint="eastAsia" w:ascii="仿宋" w:hAnsi="仿宋" w:eastAsia="仿宋" w:cs="仿宋"/>
          <w:b/>
          <w:bCs/>
          <w:kern w:val="0"/>
          <w:szCs w:val="21"/>
          <w:highlight w:val="none"/>
        </w:rPr>
        <w:t>五、公告期限</w:t>
      </w:r>
      <w:bookmarkEnd w:id="24"/>
      <w:bookmarkEnd w:id="25"/>
      <w:bookmarkEnd w:id="26"/>
      <w:bookmarkEnd w:id="27"/>
      <w:bookmarkEnd w:id="28"/>
    </w:p>
    <w:p>
      <w:pPr>
        <w:wordWrap w:val="0"/>
        <w:topLinePunct/>
        <w:snapToGrid w:val="0"/>
        <w:spacing w:line="360" w:lineRule="auto"/>
        <w:ind w:firstLine="420" w:firstLineChars="200"/>
        <w:rPr>
          <w:rFonts w:ascii="仿宋" w:hAnsi="仿宋" w:eastAsia="仿宋" w:cs="仿宋"/>
          <w:kern w:val="0"/>
          <w:szCs w:val="21"/>
          <w:highlight w:val="none"/>
        </w:rPr>
      </w:pPr>
      <w:bookmarkStart w:id="29" w:name="_Toc35393795"/>
      <w:bookmarkStart w:id="30" w:name="_Toc35393626"/>
      <w:bookmarkStart w:id="31" w:name="_Toc38985268"/>
      <w:r>
        <w:rPr>
          <w:rFonts w:hint="eastAsia" w:ascii="仿宋" w:hAnsi="仿宋" w:eastAsia="仿宋" w:cs="仿宋"/>
          <w:kern w:val="0"/>
          <w:szCs w:val="21"/>
          <w:highlight w:val="none"/>
        </w:rPr>
        <w:t>招标公告期限为自本公告发布之日起5个工作日。</w:t>
      </w:r>
    </w:p>
    <w:p>
      <w:pPr>
        <w:wordWrap w:val="0"/>
        <w:topLinePunct/>
        <w:snapToGrid w:val="0"/>
        <w:spacing w:line="360" w:lineRule="auto"/>
        <w:ind w:firstLine="327" w:firstLineChars="155"/>
        <w:outlineLvl w:val="2"/>
        <w:rPr>
          <w:rFonts w:ascii="仿宋" w:hAnsi="仿宋" w:eastAsia="仿宋" w:cs="仿宋"/>
          <w:b/>
          <w:bCs/>
          <w:kern w:val="0"/>
          <w:szCs w:val="21"/>
          <w:highlight w:val="none"/>
        </w:rPr>
      </w:pPr>
      <w:r>
        <w:rPr>
          <w:rFonts w:hint="eastAsia" w:ascii="仿宋" w:hAnsi="仿宋" w:eastAsia="仿宋" w:cs="仿宋"/>
          <w:b/>
          <w:bCs/>
          <w:kern w:val="0"/>
          <w:szCs w:val="21"/>
          <w:highlight w:val="none"/>
        </w:rPr>
        <w:t>六、其他补充事宜</w:t>
      </w:r>
      <w:bookmarkEnd w:id="29"/>
      <w:bookmarkEnd w:id="30"/>
      <w:bookmarkEnd w:id="31"/>
    </w:p>
    <w:p>
      <w:pPr>
        <w:wordWrap w:val="0"/>
        <w:topLinePunct/>
        <w:snapToGrid w:val="0"/>
        <w:spacing w:line="360" w:lineRule="auto"/>
        <w:ind w:firstLine="420" w:firstLineChars="200"/>
        <w:rPr>
          <w:rFonts w:ascii="仿宋" w:hAnsi="仿宋" w:eastAsia="仿宋" w:cs="仿宋"/>
          <w:kern w:val="0"/>
          <w:szCs w:val="21"/>
          <w:highlight w:val="none"/>
        </w:rPr>
      </w:pPr>
      <w:bookmarkStart w:id="32" w:name="_Toc38985269"/>
      <w:bookmarkStart w:id="33" w:name="_Toc35393796"/>
      <w:bookmarkStart w:id="34" w:name="_Toc28359085"/>
      <w:bookmarkStart w:id="35" w:name="_Toc35393627"/>
      <w:bookmarkStart w:id="36" w:name="_Toc28359008"/>
      <w:r>
        <w:rPr>
          <w:rFonts w:hint="eastAsia" w:ascii="仿宋" w:hAnsi="仿宋" w:eastAsia="仿宋" w:cs="仿宋"/>
          <w:kern w:val="0"/>
          <w:szCs w:val="21"/>
          <w:highlight w:val="none"/>
        </w:rPr>
        <w:t>1.本项目的潜在投标人须按包获取招标文件，按包编制、密封、提交投标文件，本项目按包开标、评标。</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2.逾期送达的、未送达指定地点的或者不按照招标文件要求密封的投标文件，招标人将予以拒收。</w:t>
      </w:r>
    </w:p>
    <w:p>
      <w:pPr>
        <w:wordWrap w:val="0"/>
        <w:topLinePunct/>
        <w:snapToGrid w:val="0"/>
        <w:spacing w:line="360" w:lineRule="auto"/>
        <w:ind w:firstLine="420" w:firstLineChars="200"/>
        <w:rPr>
          <w:rFonts w:ascii="仿宋" w:hAnsi="仿宋" w:eastAsia="仿宋" w:cs="仿宋"/>
          <w:kern w:val="0"/>
          <w:szCs w:val="21"/>
          <w:highlight w:val="none"/>
        </w:rPr>
      </w:pPr>
      <w:bookmarkStart w:id="37" w:name="_Toc12289"/>
      <w:bookmarkStart w:id="38" w:name="_Toc506205204"/>
      <w:bookmarkStart w:id="39" w:name="_Toc503982942"/>
      <w:r>
        <w:rPr>
          <w:rFonts w:hint="eastAsia" w:ascii="仿宋" w:hAnsi="仿宋" w:eastAsia="仿宋" w:cs="仿宋"/>
          <w:kern w:val="0"/>
          <w:szCs w:val="21"/>
          <w:highlight w:val="none"/>
        </w:rPr>
        <w:t>3.发布公告的媒介</w:t>
      </w:r>
      <w:bookmarkEnd w:id="37"/>
      <w:bookmarkEnd w:id="38"/>
      <w:bookmarkEnd w:id="39"/>
      <w:r>
        <w:rPr>
          <w:rFonts w:hint="eastAsia" w:ascii="仿宋" w:hAnsi="仿宋" w:eastAsia="仿宋" w:cs="仿宋"/>
          <w:kern w:val="0"/>
          <w:szCs w:val="21"/>
          <w:highlight w:val="none"/>
        </w:rPr>
        <w:t>：本次招标公告同时在</w:t>
      </w:r>
      <w:r>
        <w:rPr>
          <w:rFonts w:hint="eastAsia" w:ascii="仿宋" w:hAnsi="仿宋" w:eastAsia="仿宋" w:cs="仿宋"/>
          <w:kern w:val="0"/>
          <w:szCs w:val="21"/>
          <w:highlight w:val="none"/>
          <w:u w:val="single"/>
          <w:lang w:eastAsia="zh-CN"/>
        </w:rPr>
        <w:t>扬州市公共资源交易服务平台、扬州市城建国有资产控股（集团）有限公司</w:t>
      </w:r>
      <w:r>
        <w:rPr>
          <w:rFonts w:hint="eastAsia" w:ascii="仿宋" w:hAnsi="仿宋" w:eastAsia="仿宋" w:cs="仿宋"/>
          <w:kern w:val="0"/>
          <w:szCs w:val="21"/>
          <w:highlight w:val="none"/>
        </w:rPr>
        <w:t>网站采购平台上发布。有关本次招标的事项若存在变动或修改，敬请及时关注招标公告发布网站发布的更正公告。</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4.本次招标不收取投标保证金。</w:t>
      </w:r>
    </w:p>
    <w:p>
      <w:pPr>
        <w:wordWrap w:val="0"/>
        <w:topLinePunct/>
        <w:snapToGrid w:val="0"/>
        <w:spacing w:line="360" w:lineRule="auto"/>
        <w:ind w:firstLine="327" w:firstLineChars="155"/>
        <w:outlineLvl w:val="2"/>
        <w:rPr>
          <w:rFonts w:ascii="仿宋" w:hAnsi="仿宋" w:eastAsia="仿宋" w:cs="仿宋"/>
          <w:b/>
          <w:bCs/>
          <w:kern w:val="0"/>
          <w:szCs w:val="21"/>
          <w:highlight w:val="none"/>
        </w:rPr>
      </w:pPr>
      <w:r>
        <w:rPr>
          <w:rFonts w:hint="eastAsia" w:ascii="仿宋" w:hAnsi="仿宋" w:eastAsia="仿宋" w:cs="仿宋"/>
          <w:b/>
          <w:bCs/>
          <w:kern w:val="0"/>
          <w:szCs w:val="21"/>
          <w:highlight w:val="none"/>
        </w:rPr>
        <w:t>七、本次招标联系方式</w:t>
      </w:r>
      <w:bookmarkEnd w:id="32"/>
      <w:bookmarkEnd w:id="33"/>
      <w:bookmarkEnd w:id="34"/>
      <w:bookmarkEnd w:id="35"/>
      <w:bookmarkEnd w:id="36"/>
    </w:p>
    <w:p>
      <w:pPr>
        <w:wordWrap w:val="0"/>
        <w:topLinePunct/>
        <w:snapToGrid w:val="0"/>
        <w:spacing w:line="360" w:lineRule="auto"/>
        <w:ind w:firstLine="422" w:firstLineChars="200"/>
        <w:rPr>
          <w:rFonts w:ascii="仿宋" w:hAnsi="仿宋" w:eastAsia="仿宋" w:cs="仿宋"/>
          <w:b/>
          <w:bCs/>
          <w:kern w:val="0"/>
          <w:szCs w:val="21"/>
          <w:highlight w:val="none"/>
        </w:rPr>
      </w:pPr>
      <w:bookmarkStart w:id="40" w:name="_Toc20093"/>
      <w:r>
        <w:rPr>
          <w:rFonts w:hint="eastAsia" w:ascii="仿宋" w:hAnsi="仿宋" w:eastAsia="仿宋" w:cs="仿宋"/>
          <w:b/>
          <w:bCs/>
          <w:kern w:val="0"/>
          <w:szCs w:val="21"/>
          <w:highlight w:val="none"/>
        </w:rPr>
        <w:t>招标人：</w:t>
      </w:r>
      <w:bookmarkEnd w:id="40"/>
      <w:r>
        <w:rPr>
          <w:rFonts w:hint="eastAsia" w:ascii="仿宋" w:hAnsi="仿宋" w:eastAsia="仿宋" w:cs="仿宋"/>
          <w:b/>
          <w:bCs/>
          <w:kern w:val="0"/>
          <w:szCs w:val="21"/>
          <w:highlight w:val="none"/>
          <w:shd w:val="clear" w:color="auto" w:fill="FFFFFF"/>
        </w:rPr>
        <w:t>扬州市建盛公用事业发展有限公司</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地址：仪征市真州镇仪化交通路</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联系人：顾逸群</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电  话：19962601696</w:t>
      </w:r>
    </w:p>
    <w:p>
      <w:pPr>
        <w:wordWrap w:val="0"/>
        <w:topLinePunct/>
        <w:adjustRightInd w:val="0"/>
        <w:snapToGrid w:val="0"/>
        <w:spacing w:line="360" w:lineRule="auto"/>
        <w:ind w:firstLine="422" w:firstLineChars="200"/>
        <w:rPr>
          <w:rFonts w:ascii="仿宋" w:hAnsi="仿宋" w:eastAsia="仿宋" w:cs="仿宋"/>
          <w:b/>
          <w:bCs/>
          <w:kern w:val="0"/>
          <w:szCs w:val="21"/>
          <w:highlight w:val="none"/>
        </w:rPr>
      </w:pPr>
      <w:r>
        <w:rPr>
          <w:rFonts w:hint="eastAsia" w:ascii="仿宋" w:hAnsi="仿宋" w:eastAsia="仿宋" w:cs="仿宋"/>
          <w:b/>
          <w:bCs/>
          <w:kern w:val="0"/>
          <w:szCs w:val="21"/>
          <w:highlight w:val="none"/>
        </w:rPr>
        <w:t>招标代理机构：江苏省鼎诚建设工程顾问有限公司</w:t>
      </w:r>
    </w:p>
    <w:p>
      <w:pPr>
        <w:wordWrap w:val="0"/>
        <w:topLinePunct/>
        <w:adjustRightInd w:val="0"/>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地址：扬州市文昌西路450号国泰大厦1栋16楼</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联系人：杨梅、沈一帆</w:t>
      </w:r>
    </w:p>
    <w:p>
      <w:pPr>
        <w:wordWrap w:val="0"/>
        <w:topLinePunct/>
        <w:adjustRightInd w:val="0"/>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lang w:val="zh-CN"/>
        </w:rPr>
        <w:t>电</w:t>
      </w:r>
      <w:r>
        <w:rPr>
          <w:rFonts w:hint="eastAsia" w:ascii="仿宋" w:hAnsi="仿宋" w:eastAsia="仿宋" w:cs="仿宋"/>
          <w:kern w:val="0"/>
          <w:szCs w:val="21"/>
          <w:highlight w:val="none"/>
        </w:rPr>
        <w:t xml:space="preserve">  </w:t>
      </w:r>
      <w:r>
        <w:rPr>
          <w:rFonts w:hint="eastAsia" w:ascii="仿宋" w:hAnsi="仿宋" w:eastAsia="仿宋" w:cs="仿宋"/>
          <w:kern w:val="0"/>
          <w:szCs w:val="21"/>
          <w:highlight w:val="none"/>
          <w:lang w:val="zh-CN"/>
        </w:rPr>
        <w:t>话：</w:t>
      </w:r>
      <w:r>
        <w:rPr>
          <w:rFonts w:hint="eastAsia" w:ascii="仿宋" w:hAnsi="仿宋" w:eastAsia="仿宋" w:cs="仿宋"/>
          <w:kern w:val="0"/>
          <w:szCs w:val="21"/>
          <w:highlight w:val="none"/>
        </w:rPr>
        <w:t>0514-80550753</w:t>
      </w:r>
    </w:p>
    <w:p>
      <w:pPr>
        <w:wordWrap w:val="0"/>
        <w:topLinePunct/>
        <w:rPr>
          <w:rFonts w:ascii="仿宋" w:hAnsi="仿宋" w:eastAsia="仿宋" w:cs="仿宋"/>
          <w:kern w:val="0"/>
          <w:szCs w:val="21"/>
          <w:highlight w:val="none"/>
        </w:rPr>
      </w:pPr>
      <w:r>
        <w:rPr>
          <w:rFonts w:hint="eastAsia" w:ascii="仿宋" w:hAnsi="仿宋" w:eastAsia="仿宋" w:cs="仿宋"/>
          <w:kern w:val="0"/>
          <w:szCs w:val="21"/>
          <w:highlight w:val="none"/>
        </w:rPr>
        <w:br w:type="page"/>
      </w:r>
    </w:p>
    <w:p>
      <w:pPr>
        <w:wordWrap w:val="0"/>
        <w:topLinePunct/>
        <w:spacing w:line="360" w:lineRule="auto"/>
        <w:jc w:val="center"/>
        <w:rPr>
          <w:rFonts w:ascii="仿宋" w:hAnsi="仿宋" w:eastAsia="仿宋" w:cs="仿宋"/>
          <w:kern w:val="0"/>
          <w:sz w:val="36"/>
          <w:highlight w:val="none"/>
        </w:rPr>
      </w:pPr>
      <w:r>
        <w:rPr>
          <w:rFonts w:hint="eastAsia" w:ascii="仿宋" w:hAnsi="仿宋" w:eastAsia="仿宋" w:cs="仿宋"/>
          <w:kern w:val="0"/>
          <w:sz w:val="36"/>
          <w:highlight w:val="none"/>
        </w:rPr>
        <w:t>第二章 投标人须知</w:t>
      </w:r>
      <w:bookmarkEnd w:id="2"/>
    </w:p>
    <w:p>
      <w:pPr>
        <w:pStyle w:val="5"/>
        <w:wordWrap w:val="0"/>
        <w:topLinePunct/>
        <w:adjustRightInd w:val="0"/>
        <w:snapToGrid w:val="0"/>
        <w:spacing w:before="0" w:after="0" w:line="360" w:lineRule="auto"/>
        <w:ind w:firstLine="422" w:firstLineChars="200"/>
        <w:jc w:val="left"/>
        <w:rPr>
          <w:rFonts w:ascii="仿宋" w:hAnsi="仿宋" w:eastAsia="仿宋" w:cs="仿宋"/>
          <w:bCs w:val="0"/>
          <w:sz w:val="21"/>
          <w:szCs w:val="21"/>
          <w:highlight w:val="none"/>
        </w:rPr>
      </w:pPr>
      <w:bookmarkStart w:id="41" w:name="_Toc458694821"/>
      <w:bookmarkStart w:id="42" w:name="_Toc20823276"/>
      <w:bookmarkStart w:id="43" w:name="_Toc16938520"/>
      <w:bookmarkStart w:id="44" w:name="_Toc513029204"/>
      <w:r>
        <w:rPr>
          <w:rFonts w:hint="eastAsia" w:ascii="仿宋" w:hAnsi="仿宋" w:eastAsia="仿宋" w:cs="仿宋"/>
          <w:bCs w:val="0"/>
          <w:sz w:val="21"/>
          <w:szCs w:val="21"/>
          <w:highlight w:val="none"/>
        </w:rPr>
        <w:t>1</w:t>
      </w:r>
      <w:bookmarkEnd w:id="41"/>
      <w:r>
        <w:rPr>
          <w:rFonts w:hint="eastAsia" w:ascii="仿宋" w:hAnsi="仿宋" w:eastAsia="仿宋" w:cs="仿宋"/>
          <w:bCs w:val="0"/>
          <w:sz w:val="21"/>
          <w:szCs w:val="21"/>
          <w:highlight w:val="none"/>
        </w:rPr>
        <w:t>、招标方式</w:t>
      </w:r>
      <w:bookmarkEnd w:id="42"/>
      <w:bookmarkEnd w:id="43"/>
      <w:bookmarkEnd w:id="44"/>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1.1本次招标采取公开招标方式，本招标文件仅适用于JSDC-G-20240612001号项目。</w:t>
      </w:r>
    </w:p>
    <w:p>
      <w:pPr>
        <w:pStyle w:val="5"/>
        <w:wordWrap w:val="0"/>
        <w:topLinePunct/>
        <w:adjustRightInd w:val="0"/>
        <w:snapToGrid w:val="0"/>
        <w:spacing w:before="0" w:after="0" w:line="360" w:lineRule="auto"/>
        <w:ind w:firstLine="422" w:firstLineChars="200"/>
        <w:jc w:val="left"/>
        <w:rPr>
          <w:rFonts w:ascii="仿宋" w:hAnsi="仿宋" w:eastAsia="仿宋" w:cs="仿宋"/>
          <w:bCs w:val="0"/>
          <w:sz w:val="21"/>
          <w:szCs w:val="21"/>
          <w:highlight w:val="none"/>
        </w:rPr>
      </w:pPr>
      <w:bookmarkStart w:id="45" w:name="_Toc16938521"/>
      <w:bookmarkStart w:id="46" w:name="_Toc513029205"/>
      <w:bookmarkStart w:id="47" w:name="_Toc20823277"/>
      <w:r>
        <w:rPr>
          <w:rFonts w:hint="eastAsia" w:ascii="仿宋" w:hAnsi="仿宋" w:eastAsia="仿宋" w:cs="仿宋"/>
          <w:bCs w:val="0"/>
          <w:sz w:val="21"/>
          <w:szCs w:val="21"/>
          <w:highlight w:val="none"/>
        </w:rPr>
        <w:t>2、投标人</w:t>
      </w:r>
    </w:p>
    <w:p>
      <w:pPr>
        <w:pStyle w:val="5"/>
        <w:wordWrap w:val="0"/>
        <w:topLinePunct/>
        <w:adjustRightInd w:val="0"/>
        <w:snapToGrid w:val="0"/>
        <w:spacing w:before="0" w:after="0" w:line="360" w:lineRule="auto"/>
        <w:ind w:firstLine="420" w:firstLineChars="200"/>
        <w:jc w:val="left"/>
        <w:rPr>
          <w:rFonts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2.1本招标文件中“供应商”，即“投标人”，是指参加投标竞争，并符合招标文件规定资格条件的法人、其他组织或者自然人。</w:t>
      </w:r>
    </w:p>
    <w:p>
      <w:pPr>
        <w:pStyle w:val="5"/>
        <w:wordWrap w:val="0"/>
        <w:topLinePunct/>
        <w:adjustRightInd w:val="0"/>
        <w:snapToGrid w:val="0"/>
        <w:spacing w:before="0" w:after="0" w:line="360" w:lineRule="auto"/>
        <w:ind w:firstLine="420" w:firstLineChars="200"/>
        <w:jc w:val="left"/>
        <w:rPr>
          <w:rFonts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2.2合格的投标人</w:t>
      </w:r>
      <w:bookmarkEnd w:id="45"/>
      <w:bookmarkEnd w:id="46"/>
      <w:bookmarkEnd w:id="47"/>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2.2.1满足投标邀请中供应商的资格条件要求的规定。</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2.2.2满足本文件实质性条款的规定。</w:t>
      </w:r>
    </w:p>
    <w:p>
      <w:pPr>
        <w:pStyle w:val="5"/>
        <w:wordWrap w:val="0"/>
        <w:topLinePunct/>
        <w:adjustRightInd w:val="0"/>
        <w:snapToGrid w:val="0"/>
        <w:spacing w:before="0" w:after="0" w:line="360" w:lineRule="auto"/>
        <w:ind w:firstLine="422" w:firstLineChars="200"/>
        <w:jc w:val="left"/>
        <w:rPr>
          <w:rFonts w:ascii="仿宋" w:hAnsi="仿宋" w:eastAsia="仿宋" w:cs="仿宋"/>
          <w:bCs w:val="0"/>
          <w:sz w:val="21"/>
          <w:szCs w:val="21"/>
          <w:highlight w:val="none"/>
        </w:rPr>
      </w:pPr>
      <w:bookmarkStart w:id="48" w:name="_Toc513029206"/>
      <w:bookmarkStart w:id="49" w:name="_Toc16938522"/>
      <w:bookmarkStart w:id="50" w:name="_Toc20823278"/>
      <w:r>
        <w:rPr>
          <w:rFonts w:hint="eastAsia" w:ascii="仿宋" w:hAnsi="仿宋" w:eastAsia="仿宋" w:cs="仿宋"/>
          <w:bCs w:val="0"/>
          <w:sz w:val="21"/>
          <w:szCs w:val="21"/>
          <w:highlight w:val="none"/>
        </w:rPr>
        <w:t>3、适用法律</w:t>
      </w:r>
      <w:bookmarkEnd w:id="48"/>
      <w:bookmarkEnd w:id="49"/>
      <w:bookmarkEnd w:id="50"/>
    </w:p>
    <w:p>
      <w:pPr>
        <w:pStyle w:val="5"/>
        <w:wordWrap w:val="0"/>
        <w:topLinePunct/>
        <w:adjustRightInd w:val="0"/>
        <w:snapToGrid w:val="0"/>
        <w:spacing w:before="0" w:after="0" w:line="360" w:lineRule="auto"/>
        <w:ind w:firstLine="420" w:firstLineChars="200"/>
        <w:jc w:val="left"/>
        <w:rPr>
          <w:rFonts w:ascii="仿宋" w:hAnsi="仿宋" w:eastAsia="仿宋" w:cs="仿宋"/>
          <w:b w:val="0"/>
          <w:bCs w:val="0"/>
          <w:sz w:val="21"/>
          <w:szCs w:val="21"/>
          <w:highlight w:val="none"/>
        </w:rPr>
      </w:pPr>
      <w:r>
        <w:rPr>
          <w:rFonts w:hint="eastAsia" w:ascii="仿宋" w:hAnsi="仿宋" w:eastAsia="仿宋" w:cs="仿宋"/>
          <w:b w:val="0"/>
          <w:sz w:val="21"/>
          <w:szCs w:val="21"/>
          <w:highlight w:val="none"/>
        </w:rPr>
        <w:t>3.1本次招标及由此产生的合同受中华人民共和国有关的法律法规制约和保护。</w:t>
      </w:r>
    </w:p>
    <w:p>
      <w:pPr>
        <w:wordWrap w:val="0"/>
        <w:topLinePunct/>
        <w:adjustRightInd w:val="0"/>
        <w:snapToGrid w:val="0"/>
        <w:spacing w:line="360" w:lineRule="auto"/>
        <w:ind w:firstLine="422" w:firstLineChars="200"/>
        <w:jc w:val="left"/>
        <w:rPr>
          <w:rFonts w:ascii="仿宋" w:hAnsi="仿宋" w:eastAsia="仿宋" w:cs="仿宋"/>
          <w:b/>
          <w:kern w:val="0"/>
          <w:szCs w:val="21"/>
          <w:highlight w:val="none"/>
        </w:rPr>
      </w:pPr>
      <w:r>
        <w:rPr>
          <w:rFonts w:hint="eastAsia" w:ascii="仿宋" w:hAnsi="仿宋" w:eastAsia="仿宋" w:cs="仿宋"/>
          <w:b/>
          <w:kern w:val="0"/>
          <w:szCs w:val="21"/>
          <w:highlight w:val="none"/>
        </w:rPr>
        <w:t>4、投标费用</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bCs/>
          <w:kern w:val="0"/>
          <w:szCs w:val="21"/>
          <w:highlight w:val="none"/>
        </w:rPr>
        <w:t>4.1</w:t>
      </w:r>
      <w:r>
        <w:rPr>
          <w:rFonts w:hint="eastAsia" w:ascii="仿宋" w:hAnsi="仿宋" w:eastAsia="仿宋" w:cs="仿宋"/>
          <w:kern w:val="0"/>
          <w:szCs w:val="21"/>
          <w:highlight w:val="none"/>
        </w:rPr>
        <w:t>投标人应自行承担所有与参加投标有关的费用，无论投标过程中的做法和结果如何，代理机构在任何情况下均无义务和责任承担这些费用。</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4.2本次采购由中标人按照《招标代理服务收费管理暂行办法》(计价格【2002】1980号文)货物类标准在领取中标通知书时一次性支付给招标代理机构代理服务费，代理服务费最低3000元。</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（1）代理服务费以人民币支付；</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（2）代理服务费一次性以电汇、转账等非现金形式支付；</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（3）招标代理服务费不在投标报价中单列，包含在投标总价中，由中标单位支付给代理机构。</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招标代理服务费账户名称：江苏省鼎诚建设工程顾问有限公司</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开户银行：农行虎踞北路支行</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银行账号：10115501040003096</w:t>
      </w:r>
    </w:p>
    <w:p>
      <w:pPr>
        <w:pStyle w:val="6"/>
        <w:wordWrap w:val="0"/>
        <w:topLinePunct/>
        <w:adjustRightInd w:val="0"/>
        <w:snapToGrid w:val="0"/>
        <w:spacing w:line="360" w:lineRule="auto"/>
        <w:ind w:firstLine="420" w:firstLineChars="200"/>
        <w:rPr>
          <w:rFonts w:ascii="仿宋" w:hAnsi="仿宋" w:eastAsia="仿宋" w:cs="仿宋"/>
          <w:bCs/>
          <w:kern w:val="0"/>
          <w:szCs w:val="21"/>
          <w:highlight w:val="none"/>
        </w:rPr>
      </w:pPr>
      <w:r>
        <w:rPr>
          <w:rFonts w:hint="eastAsia" w:ascii="仿宋" w:hAnsi="仿宋" w:eastAsia="仿宋" w:cs="仿宋"/>
          <w:bCs/>
          <w:kern w:val="0"/>
          <w:szCs w:val="21"/>
          <w:highlight w:val="none"/>
        </w:rPr>
        <w:t>4.3专家评审费按扬财购【2020】40号文《关于进一步规范扬州市政府采购专家评审费标准的通知》执行。</w:t>
      </w:r>
    </w:p>
    <w:p>
      <w:pPr>
        <w:pStyle w:val="5"/>
        <w:wordWrap w:val="0"/>
        <w:topLinePunct/>
        <w:adjustRightInd w:val="0"/>
        <w:snapToGrid w:val="0"/>
        <w:spacing w:before="0" w:after="0" w:line="360" w:lineRule="auto"/>
        <w:ind w:firstLine="422" w:firstLineChars="200"/>
        <w:jc w:val="left"/>
        <w:rPr>
          <w:rFonts w:ascii="仿宋" w:hAnsi="仿宋" w:eastAsia="仿宋" w:cs="仿宋"/>
          <w:bCs w:val="0"/>
          <w:sz w:val="21"/>
          <w:szCs w:val="21"/>
          <w:highlight w:val="none"/>
        </w:rPr>
      </w:pPr>
      <w:r>
        <w:rPr>
          <w:rFonts w:hint="eastAsia" w:ascii="仿宋" w:hAnsi="仿宋" w:eastAsia="仿宋" w:cs="仿宋"/>
          <w:sz w:val="21"/>
          <w:szCs w:val="21"/>
          <w:highlight w:val="none"/>
        </w:rPr>
        <w:t>5、</w:t>
      </w:r>
      <w:r>
        <w:rPr>
          <w:rFonts w:hint="eastAsia" w:ascii="仿宋" w:hAnsi="仿宋" w:eastAsia="仿宋" w:cs="仿宋"/>
          <w:bCs w:val="0"/>
          <w:sz w:val="21"/>
          <w:szCs w:val="21"/>
          <w:highlight w:val="none"/>
        </w:rPr>
        <w:t>招标文件的约束力</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5.1</w:t>
      </w:r>
      <w:r>
        <w:rPr>
          <w:rFonts w:hint="eastAsia" w:ascii="仿宋" w:hAnsi="仿宋" w:eastAsia="仿宋" w:cs="仿宋"/>
          <w:kern w:val="0"/>
          <w:szCs w:val="21"/>
          <w:highlight w:val="none"/>
        </w:rPr>
        <w:t>投标人一旦参加本项目采购活动，即被认为接受了本招标文件的规定和约束。</w:t>
      </w:r>
    </w:p>
    <w:p>
      <w:pPr>
        <w:pStyle w:val="5"/>
        <w:wordWrap w:val="0"/>
        <w:topLinePunct/>
        <w:adjustRightInd w:val="0"/>
        <w:snapToGrid w:val="0"/>
        <w:spacing w:before="0" w:after="0" w:line="360" w:lineRule="auto"/>
        <w:ind w:firstLine="422" w:firstLineChars="200"/>
        <w:jc w:val="left"/>
        <w:rPr>
          <w:rFonts w:ascii="仿宋" w:hAnsi="仿宋" w:eastAsia="仿宋" w:cs="仿宋"/>
          <w:bCs w:val="0"/>
          <w:sz w:val="21"/>
          <w:szCs w:val="21"/>
          <w:highlight w:val="none"/>
        </w:rPr>
      </w:pPr>
      <w:bookmarkStart w:id="51" w:name="_Toc20823282"/>
      <w:bookmarkStart w:id="52" w:name="_Toc513029210"/>
      <w:bookmarkStart w:id="53" w:name="_Toc16938526"/>
      <w:r>
        <w:rPr>
          <w:rFonts w:hint="eastAsia" w:ascii="仿宋" w:hAnsi="仿宋" w:eastAsia="仿宋" w:cs="仿宋"/>
          <w:bCs w:val="0"/>
          <w:sz w:val="21"/>
          <w:szCs w:val="21"/>
          <w:highlight w:val="none"/>
        </w:rPr>
        <w:t>6、招标文件构成</w:t>
      </w:r>
      <w:bookmarkEnd w:id="51"/>
      <w:bookmarkEnd w:id="52"/>
      <w:bookmarkEnd w:id="53"/>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bCs/>
          <w:kern w:val="0"/>
          <w:szCs w:val="21"/>
          <w:highlight w:val="none"/>
        </w:rPr>
        <w:t>6.1</w:t>
      </w:r>
      <w:r>
        <w:rPr>
          <w:rFonts w:hint="eastAsia" w:ascii="仿宋" w:hAnsi="仿宋" w:eastAsia="仿宋" w:cs="仿宋"/>
          <w:kern w:val="0"/>
          <w:szCs w:val="21"/>
          <w:highlight w:val="none"/>
        </w:rPr>
        <w:t>招标文件有以下部分组成：</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（1）招标公告</w:t>
      </w:r>
    </w:p>
    <w:p>
      <w:pPr>
        <w:tabs>
          <w:tab w:val="left" w:pos="2580"/>
        </w:tabs>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（2）投标人须知</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（3）合同条款及格式</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（4）项目需求</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（5）评标方法与评标标准</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（6）投标文件格式</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请仔细检查招标文件是否齐全，如有缺漏请立即与代理机构联系解决。</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6.2招标的最小单位是包。招标服务数量及技术要求中未分包的，供应商对要求提供的服务不得部分投标；招标服务数量及技术要求中已经分包的，应当以包为单位投标。</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6.3招标文件如果要求供应商提交备选投标方案的，供应商可以提交备选方案；否则，备选方案将被拒绝。</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bCs/>
          <w:kern w:val="0"/>
          <w:szCs w:val="21"/>
          <w:highlight w:val="none"/>
        </w:rPr>
        <w:t>6.4</w:t>
      </w:r>
      <w:r>
        <w:rPr>
          <w:rFonts w:hint="eastAsia" w:ascii="仿宋" w:hAnsi="仿宋" w:eastAsia="仿宋" w:cs="仿宋"/>
          <w:kern w:val="0"/>
          <w:szCs w:val="21"/>
          <w:highlight w:val="none"/>
        </w:rPr>
        <w:t>投标人应认真阅读招标文件中所有的事项、格式、条款和规范等要求。按招标文件要求和规定编制投标文件，并保证所提供的全部资料的真实性，以使其投标文件对招标文件提出的要求和条件作出实质性响应，否则其风险由投标人自行承担。</w:t>
      </w:r>
    </w:p>
    <w:p>
      <w:pPr>
        <w:pStyle w:val="5"/>
        <w:wordWrap w:val="0"/>
        <w:topLinePunct/>
        <w:adjustRightInd w:val="0"/>
        <w:snapToGrid w:val="0"/>
        <w:spacing w:before="0" w:after="0" w:line="360" w:lineRule="auto"/>
        <w:ind w:firstLine="422" w:firstLineChars="200"/>
        <w:jc w:val="left"/>
        <w:rPr>
          <w:rFonts w:ascii="仿宋" w:hAnsi="仿宋" w:eastAsia="仿宋" w:cs="仿宋"/>
          <w:b w:val="0"/>
          <w:bCs w:val="0"/>
          <w:sz w:val="21"/>
          <w:szCs w:val="21"/>
          <w:highlight w:val="none"/>
        </w:rPr>
      </w:pPr>
      <w:bookmarkStart w:id="54" w:name="_Toc462564070"/>
      <w:bookmarkStart w:id="55" w:name="_Toc16938527"/>
      <w:bookmarkStart w:id="56" w:name="_Toc20823283"/>
      <w:bookmarkStart w:id="57" w:name="_Toc513029211"/>
      <w:r>
        <w:rPr>
          <w:rFonts w:hint="eastAsia" w:ascii="仿宋" w:hAnsi="仿宋" w:eastAsia="仿宋" w:cs="仿宋"/>
          <w:bCs w:val="0"/>
          <w:sz w:val="21"/>
          <w:szCs w:val="21"/>
          <w:highlight w:val="none"/>
        </w:rPr>
        <w:t>7</w:t>
      </w:r>
      <w:r>
        <w:rPr>
          <w:rFonts w:hint="eastAsia" w:ascii="仿宋" w:hAnsi="仿宋" w:eastAsia="仿宋" w:cs="仿宋"/>
          <w:b w:val="0"/>
          <w:bCs w:val="0"/>
          <w:sz w:val="21"/>
          <w:szCs w:val="21"/>
          <w:highlight w:val="none"/>
        </w:rPr>
        <w:t>、</w:t>
      </w:r>
      <w:r>
        <w:rPr>
          <w:rFonts w:hint="eastAsia" w:ascii="仿宋" w:hAnsi="仿宋" w:eastAsia="仿宋" w:cs="仿宋"/>
          <w:bCs w:val="0"/>
          <w:sz w:val="21"/>
          <w:szCs w:val="21"/>
          <w:highlight w:val="none"/>
        </w:rPr>
        <w:t>招标文件的</w:t>
      </w:r>
      <w:bookmarkEnd w:id="54"/>
      <w:bookmarkEnd w:id="55"/>
      <w:bookmarkEnd w:id="56"/>
      <w:bookmarkEnd w:id="57"/>
      <w:r>
        <w:rPr>
          <w:rFonts w:hint="eastAsia" w:ascii="仿宋" w:hAnsi="仿宋" w:eastAsia="仿宋" w:cs="仿宋"/>
          <w:bCs w:val="0"/>
          <w:sz w:val="21"/>
          <w:szCs w:val="21"/>
          <w:highlight w:val="none"/>
        </w:rPr>
        <w:t>澄清</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7.1任何要求对招标文件进行澄清的投标人，应在投标截止日期的十日前按投标邀请中的通讯地址，以书面形式通知代理机构。</w:t>
      </w:r>
    </w:p>
    <w:p>
      <w:pPr>
        <w:pStyle w:val="5"/>
        <w:wordWrap w:val="0"/>
        <w:topLinePunct/>
        <w:adjustRightInd w:val="0"/>
        <w:snapToGrid w:val="0"/>
        <w:spacing w:before="0" w:after="0" w:line="360" w:lineRule="auto"/>
        <w:ind w:firstLine="422" w:firstLineChars="200"/>
        <w:jc w:val="left"/>
        <w:rPr>
          <w:rFonts w:ascii="仿宋" w:hAnsi="仿宋" w:eastAsia="仿宋" w:cs="仿宋"/>
          <w:b w:val="0"/>
          <w:bCs w:val="0"/>
          <w:sz w:val="21"/>
          <w:szCs w:val="21"/>
          <w:highlight w:val="none"/>
        </w:rPr>
      </w:pPr>
      <w:bookmarkStart w:id="58" w:name="_Toc513029212"/>
      <w:bookmarkStart w:id="59" w:name="_Toc16938528"/>
      <w:bookmarkStart w:id="60" w:name="_Toc20823284"/>
      <w:bookmarkStart w:id="61" w:name="_Toc462564071"/>
      <w:bookmarkStart w:id="62" w:name="_Toc16938530"/>
      <w:bookmarkStart w:id="63" w:name="_Toc20823286"/>
      <w:bookmarkStart w:id="64" w:name="_Toc513029214"/>
      <w:bookmarkStart w:id="65" w:name="_Toc462564073"/>
      <w:r>
        <w:rPr>
          <w:rFonts w:hint="eastAsia" w:ascii="仿宋" w:hAnsi="仿宋" w:eastAsia="仿宋" w:cs="仿宋"/>
          <w:bCs w:val="0"/>
          <w:sz w:val="21"/>
          <w:szCs w:val="21"/>
          <w:highlight w:val="none"/>
        </w:rPr>
        <w:t>8</w:t>
      </w:r>
      <w:r>
        <w:rPr>
          <w:rFonts w:hint="eastAsia" w:ascii="仿宋" w:hAnsi="仿宋" w:eastAsia="仿宋" w:cs="仿宋"/>
          <w:b w:val="0"/>
          <w:bCs w:val="0"/>
          <w:sz w:val="21"/>
          <w:szCs w:val="21"/>
          <w:highlight w:val="none"/>
        </w:rPr>
        <w:t>、</w:t>
      </w:r>
      <w:r>
        <w:rPr>
          <w:rFonts w:hint="eastAsia" w:ascii="仿宋" w:hAnsi="仿宋" w:eastAsia="仿宋" w:cs="仿宋"/>
          <w:bCs w:val="0"/>
          <w:sz w:val="21"/>
          <w:szCs w:val="21"/>
          <w:highlight w:val="none"/>
        </w:rPr>
        <w:t>招标文件的修改</w:t>
      </w:r>
      <w:bookmarkEnd w:id="58"/>
      <w:bookmarkEnd w:id="59"/>
      <w:bookmarkEnd w:id="60"/>
      <w:bookmarkEnd w:id="61"/>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bCs/>
          <w:kern w:val="0"/>
          <w:szCs w:val="21"/>
          <w:highlight w:val="none"/>
        </w:rPr>
        <w:t>8.1</w:t>
      </w:r>
      <w:r>
        <w:rPr>
          <w:rFonts w:hint="eastAsia" w:ascii="仿宋" w:hAnsi="仿宋" w:eastAsia="仿宋" w:cs="仿宋"/>
          <w:kern w:val="0"/>
          <w:szCs w:val="21"/>
          <w:highlight w:val="none"/>
        </w:rPr>
        <w:t>在投标截止时间前，代理机构可以对招标文件进行修改。</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8.2代理机构在招标文件要求提交投标文件截止时间前，有权按照法定要求推迟投标截止时间和开标时间。</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bCs/>
          <w:kern w:val="0"/>
          <w:szCs w:val="21"/>
          <w:highlight w:val="none"/>
        </w:rPr>
        <w:t>8.3</w:t>
      </w:r>
      <w:r>
        <w:rPr>
          <w:rFonts w:hint="eastAsia" w:ascii="仿宋" w:hAnsi="仿宋" w:eastAsia="仿宋" w:cs="仿宋"/>
          <w:kern w:val="0"/>
          <w:szCs w:val="21"/>
          <w:highlight w:val="none"/>
        </w:rPr>
        <w:t>招标文件的修改将在“</w:t>
      </w:r>
      <w:r>
        <w:rPr>
          <w:rFonts w:hint="eastAsia" w:ascii="仿宋" w:hAnsi="仿宋" w:eastAsia="仿宋" w:cs="仿宋"/>
          <w:kern w:val="0"/>
          <w:szCs w:val="21"/>
          <w:highlight w:val="none"/>
          <w:lang w:eastAsia="zh-CN"/>
        </w:rPr>
        <w:t>扬州市公共资源交易服务平台、扬州市城建国有资产控股（集团）有限公司</w:t>
      </w:r>
      <w:r>
        <w:rPr>
          <w:rFonts w:hint="eastAsia" w:ascii="仿宋" w:hAnsi="仿宋" w:eastAsia="仿宋" w:cs="仿宋"/>
          <w:kern w:val="0"/>
          <w:szCs w:val="21"/>
          <w:highlight w:val="none"/>
        </w:rPr>
        <w:t>”公布，补充文件将作为招标文件的组成部分，并对投标人具有约束力。</w:t>
      </w:r>
    </w:p>
    <w:p>
      <w:pPr>
        <w:pStyle w:val="5"/>
        <w:wordWrap w:val="0"/>
        <w:topLinePunct/>
        <w:adjustRightInd w:val="0"/>
        <w:snapToGrid w:val="0"/>
        <w:spacing w:before="0" w:after="0" w:line="360" w:lineRule="auto"/>
        <w:ind w:firstLine="422" w:firstLineChars="200"/>
        <w:jc w:val="left"/>
        <w:rPr>
          <w:rFonts w:ascii="仿宋" w:hAnsi="仿宋" w:eastAsia="仿宋" w:cs="仿宋"/>
          <w:bCs w:val="0"/>
          <w:sz w:val="21"/>
          <w:szCs w:val="21"/>
          <w:highlight w:val="none"/>
        </w:rPr>
      </w:pPr>
      <w:r>
        <w:rPr>
          <w:rFonts w:hint="eastAsia" w:ascii="仿宋" w:hAnsi="仿宋" w:eastAsia="仿宋" w:cs="仿宋"/>
          <w:bCs w:val="0"/>
          <w:sz w:val="21"/>
          <w:szCs w:val="21"/>
          <w:highlight w:val="none"/>
        </w:rPr>
        <w:t>9、投标文件的语言、度量衡单位</w:t>
      </w:r>
      <w:bookmarkEnd w:id="62"/>
      <w:bookmarkEnd w:id="63"/>
      <w:bookmarkEnd w:id="64"/>
      <w:bookmarkEnd w:id="65"/>
      <w:r>
        <w:rPr>
          <w:rFonts w:hint="eastAsia" w:ascii="仿宋" w:hAnsi="仿宋" w:eastAsia="仿宋" w:cs="仿宋"/>
          <w:bCs w:val="0"/>
          <w:sz w:val="21"/>
          <w:szCs w:val="21"/>
          <w:highlight w:val="none"/>
        </w:rPr>
        <w:t>、货币和编制</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bCs/>
          <w:kern w:val="0"/>
          <w:szCs w:val="21"/>
          <w:highlight w:val="none"/>
        </w:rPr>
        <w:t>9.1</w:t>
      </w:r>
      <w:r>
        <w:rPr>
          <w:rFonts w:hint="eastAsia" w:ascii="仿宋" w:hAnsi="仿宋" w:eastAsia="仿宋" w:cs="仿宋"/>
          <w:kern w:val="0"/>
          <w:szCs w:val="21"/>
          <w:highlight w:val="none"/>
        </w:rPr>
        <w:t>投标人提交的投标文件以及投标人与代理机构就有关投标的所有来往通知、函件和文件均应使用简体中文。</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9.2除技术性能另有规定外，投标文件所使用的度量衡单位，均须采用国家法定计量单位。</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9.3投标人应使用人民币报价。</w:t>
      </w:r>
    </w:p>
    <w:p>
      <w:pPr>
        <w:pStyle w:val="5"/>
        <w:wordWrap w:val="0"/>
        <w:topLinePunct/>
        <w:adjustRightInd w:val="0"/>
        <w:snapToGrid w:val="0"/>
        <w:spacing w:before="0" w:after="0" w:line="360" w:lineRule="auto"/>
        <w:ind w:firstLine="422" w:firstLineChars="200"/>
        <w:jc w:val="left"/>
        <w:rPr>
          <w:rFonts w:ascii="仿宋" w:hAnsi="仿宋" w:eastAsia="仿宋" w:cs="仿宋"/>
          <w:bCs w:val="0"/>
          <w:sz w:val="21"/>
          <w:szCs w:val="21"/>
          <w:highlight w:val="none"/>
        </w:rPr>
      </w:pPr>
      <w:bookmarkStart w:id="66" w:name="_Toc513029215"/>
      <w:bookmarkStart w:id="67" w:name="_Toc16938531"/>
      <w:bookmarkStart w:id="68" w:name="_Toc462564074"/>
      <w:bookmarkStart w:id="69" w:name="_Toc20823287"/>
      <w:r>
        <w:rPr>
          <w:rFonts w:hint="eastAsia" w:ascii="仿宋" w:hAnsi="仿宋" w:eastAsia="仿宋" w:cs="仿宋"/>
          <w:bCs w:val="0"/>
          <w:sz w:val="21"/>
          <w:szCs w:val="21"/>
          <w:highlight w:val="none"/>
        </w:rPr>
        <w:t>10、投标文件构成</w:t>
      </w:r>
      <w:bookmarkEnd w:id="66"/>
      <w:bookmarkEnd w:id="67"/>
      <w:bookmarkEnd w:id="68"/>
      <w:bookmarkEnd w:id="69"/>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bookmarkStart w:id="70" w:name="_Toc49090509"/>
      <w:bookmarkStart w:id="71" w:name="_Toc513029219"/>
      <w:bookmarkStart w:id="72" w:name="_Toc14577357"/>
      <w:bookmarkStart w:id="73" w:name="_Toc14577354"/>
      <w:bookmarkStart w:id="74" w:name="_Toc49090507"/>
      <w:bookmarkStart w:id="75" w:name="_Toc513029216"/>
      <w:r>
        <w:rPr>
          <w:rFonts w:hint="eastAsia" w:ascii="仿宋" w:hAnsi="仿宋" w:eastAsia="仿宋" w:cs="仿宋"/>
          <w:kern w:val="0"/>
          <w:szCs w:val="21"/>
          <w:highlight w:val="none"/>
        </w:rPr>
        <w:t>10.1投标文件由以下部分组成</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（1）资格审查响应对照表</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（2）符合性审查响应对照表</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（3）非实质性响应对照表</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（4）开标一览表</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（5）分项报价表</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 xml:space="preserve">（6）技术参数响应及偏离表 </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 xml:space="preserve">（7）商务条款响应及偏离表 </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（8）其他（投标人认为有必要提供的声明和文件，如有自拟并自行添加）</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10.2投标人应当根据招标文件要求编制投标文件，投标文件应对招标文件提出的要求和条件作出响应，并在相应的投标文件中逐条标明满足与否。</w:t>
      </w:r>
    </w:p>
    <w:p>
      <w:pPr>
        <w:pStyle w:val="5"/>
        <w:wordWrap w:val="0"/>
        <w:topLinePunct/>
        <w:adjustRightInd w:val="0"/>
        <w:snapToGrid w:val="0"/>
        <w:spacing w:before="0" w:after="0" w:line="360" w:lineRule="auto"/>
        <w:ind w:firstLine="422" w:firstLineChars="200"/>
        <w:jc w:val="left"/>
        <w:rPr>
          <w:rFonts w:ascii="仿宋" w:hAnsi="仿宋" w:eastAsia="仿宋" w:cs="仿宋"/>
          <w:b w:val="0"/>
          <w:bCs w:val="0"/>
          <w:sz w:val="21"/>
          <w:szCs w:val="21"/>
          <w:highlight w:val="none"/>
        </w:rPr>
      </w:pPr>
      <w:r>
        <w:rPr>
          <w:rFonts w:hint="eastAsia" w:ascii="仿宋" w:hAnsi="仿宋" w:eastAsia="仿宋" w:cs="仿宋"/>
          <w:bCs w:val="0"/>
          <w:sz w:val="21"/>
          <w:szCs w:val="21"/>
          <w:highlight w:val="none"/>
        </w:rPr>
        <w:t>11、证明投标人资格及符合招标文件规定的文件</w:t>
      </w:r>
      <w:bookmarkEnd w:id="70"/>
      <w:bookmarkEnd w:id="71"/>
      <w:bookmarkEnd w:id="72"/>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11.1投标人应按要求提交资格证明文件及符合招标文件规定的文件。</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11.2投标人应提交证明其有资格参加投标和中标后有能力独立履行合同的文件。</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11.3投标人除必须具有履行合同所需提供的服务的能力外，还必须具备相应的财务、技术方面的能力。</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11.4投标人应提交根据合同要求提供的证明服务质量合格以及符合招标文件规定的证明文件。</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11.5证明投标人所提供服务与招标文件的要求相一致的文件可以是手册、图纸、文字资料和数据</w:t>
      </w:r>
      <w:r>
        <w:rPr>
          <w:rFonts w:hint="eastAsia" w:ascii="仿宋" w:hAnsi="仿宋" w:eastAsia="仿宋" w:cs="仿宋"/>
          <w:bCs/>
          <w:kern w:val="0"/>
          <w:szCs w:val="21"/>
          <w:highlight w:val="none"/>
        </w:rPr>
        <w:t>。</w:t>
      </w:r>
    </w:p>
    <w:bookmarkEnd w:id="73"/>
    <w:bookmarkEnd w:id="74"/>
    <w:bookmarkEnd w:id="75"/>
    <w:p>
      <w:pPr>
        <w:pStyle w:val="5"/>
        <w:wordWrap w:val="0"/>
        <w:topLinePunct/>
        <w:adjustRightInd w:val="0"/>
        <w:snapToGrid w:val="0"/>
        <w:spacing w:before="0" w:after="0" w:line="360" w:lineRule="auto"/>
        <w:ind w:firstLine="422" w:firstLineChars="200"/>
        <w:jc w:val="left"/>
        <w:rPr>
          <w:rFonts w:ascii="仿宋" w:hAnsi="仿宋" w:eastAsia="仿宋" w:cs="仿宋"/>
          <w:bCs w:val="0"/>
          <w:sz w:val="21"/>
          <w:szCs w:val="21"/>
          <w:highlight w:val="none"/>
        </w:rPr>
      </w:pPr>
      <w:bookmarkStart w:id="76" w:name="_Toc14577355"/>
      <w:bookmarkStart w:id="77" w:name="_Toc49090508"/>
      <w:r>
        <w:rPr>
          <w:rFonts w:hint="eastAsia" w:ascii="仿宋" w:hAnsi="仿宋" w:eastAsia="仿宋" w:cs="仿宋"/>
          <w:bCs w:val="0"/>
          <w:sz w:val="21"/>
          <w:szCs w:val="21"/>
          <w:highlight w:val="none"/>
        </w:rPr>
        <w:t>12、投标分项报价</w:t>
      </w:r>
      <w:bookmarkEnd w:id="76"/>
      <w:r>
        <w:rPr>
          <w:rFonts w:hint="eastAsia" w:ascii="仿宋" w:hAnsi="仿宋" w:eastAsia="仿宋" w:cs="仿宋"/>
          <w:bCs w:val="0"/>
          <w:sz w:val="21"/>
          <w:szCs w:val="21"/>
          <w:highlight w:val="none"/>
        </w:rPr>
        <w:t>表</w:t>
      </w:r>
      <w:bookmarkEnd w:id="77"/>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12.1投标人应按照招标文件规定格式填报投标配置与分项报价表，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12.2标的物</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采购人需求的服务供应、安装，调试及有关技术服务等。</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12.3有关费用处理</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12.4其它费用处理</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招标文件未列明，而投标人认为必需的费用也需列入报价。</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12.5投标货币</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投标文件中的服务单价和总价无特殊规定的采用人民币报价，以元为单位标注。招标文件中另有规定的按规定执行。</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12.6投标配置与分项报价表上的价格应按下列方式分开填写：</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1、项目总价：包括采购人需求的产品价格、质量保证费用、培训费用及售后服务费用，项目在指定地点、环境交付、安装、调试、验收所需费用和所有相关税金费用及为完成整个项目所产生的其他所有费用。</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2、项目单价按投标配置及分项报价表中要求填报。</w:t>
      </w:r>
    </w:p>
    <w:p>
      <w:pPr>
        <w:wordWrap w:val="0"/>
        <w:topLinePunct/>
        <w:adjustRightInd w:val="0"/>
        <w:snapToGrid w:val="0"/>
        <w:spacing w:line="360" w:lineRule="auto"/>
        <w:ind w:firstLine="422" w:firstLineChars="200"/>
        <w:jc w:val="left"/>
        <w:rPr>
          <w:rFonts w:ascii="仿宋" w:hAnsi="仿宋" w:eastAsia="仿宋" w:cs="仿宋"/>
          <w:b/>
          <w:kern w:val="0"/>
          <w:szCs w:val="21"/>
          <w:highlight w:val="none"/>
        </w:rPr>
      </w:pPr>
      <w:r>
        <w:rPr>
          <w:rFonts w:hint="eastAsia" w:ascii="仿宋" w:hAnsi="仿宋" w:eastAsia="仿宋" w:cs="仿宋"/>
          <w:b/>
          <w:bCs/>
          <w:kern w:val="0"/>
          <w:szCs w:val="21"/>
          <w:highlight w:val="none"/>
        </w:rPr>
        <w:t>13、</w:t>
      </w:r>
      <w:r>
        <w:rPr>
          <w:rFonts w:hint="eastAsia" w:ascii="仿宋" w:hAnsi="仿宋" w:eastAsia="仿宋" w:cs="仿宋"/>
          <w:b/>
          <w:kern w:val="0"/>
          <w:szCs w:val="21"/>
          <w:highlight w:val="none"/>
        </w:rPr>
        <w:t>技术参数响应及偏离表、商务条款响应及偏离表及投标服务说明</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lang w:val="zh-CN"/>
        </w:rPr>
      </w:pPr>
      <w:r>
        <w:rPr>
          <w:rFonts w:hint="eastAsia" w:ascii="仿宋" w:hAnsi="仿宋" w:eastAsia="仿宋" w:cs="仿宋"/>
          <w:bCs/>
          <w:kern w:val="0"/>
          <w:szCs w:val="21"/>
          <w:highlight w:val="none"/>
          <w:lang w:val="zh-CN"/>
        </w:rPr>
        <w:t>13.1</w:t>
      </w:r>
      <w:r>
        <w:rPr>
          <w:rFonts w:hint="eastAsia" w:ascii="仿宋" w:hAnsi="仿宋" w:eastAsia="仿宋" w:cs="仿宋"/>
          <w:kern w:val="0"/>
          <w:szCs w:val="21"/>
          <w:highlight w:val="none"/>
          <w:lang w:val="zh-CN"/>
        </w:rPr>
        <w:t>对招标文件中的技术与商务条款要求逐项作出响应或偏离，并说明原因；</w:t>
      </w:r>
    </w:p>
    <w:p>
      <w:pPr>
        <w:tabs>
          <w:tab w:val="left" w:pos="1035"/>
        </w:tabs>
        <w:wordWrap w:val="0"/>
        <w:topLinePunct/>
        <w:adjustRightInd w:val="0"/>
        <w:snapToGrid w:val="0"/>
        <w:spacing w:line="360" w:lineRule="auto"/>
        <w:ind w:firstLine="420" w:firstLineChars="200"/>
        <w:jc w:val="left"/>
        <w:rPr>
          <w:rFonts w:ascii="仿宋" w:hAnsi="仿宋" w:eastAsia="仿宋" w:cs="仿宋"/>
          <w:kern w:val="0"/>
          <w:szCs w:val="21"/>
          <w:highlight w:val="none"/>
          <w:lang w:val="zh-CN"/>
        </w:rPr>
      </w:pPr>
      <w:r>
        <w:rPr>
          <w:rFonts w:hint="eastAsia" w:ascii="仿宋" w:hAnsi="仿宋" w:eastAsia="仿宋" w:cs="仿宋"/>
          <w:kern w:val="0"/>
          <w:szCs w:val="21"/>
          <w:highlight w:val="none"/>
          <w:lang w:val="zh-CN"/>
        </w:rPr>
        <w:t>13.2投标人认为需要的其他技术文件或说明。</w:t>
      </w:r>
    </w:p>
    <w:p>
      <w:pPr>
        <w:wordWrap w:val="0"/>
        <w:topLinePunct/>
        <w:adjustRightInd w:val="0"/>
        <w:snapToGrid w:val="0"/>
        <w:spacing w:line="360" w:lineRule="auto"/>
        <w:ind w:firstLine="422" w:firstLineChars="200"/>
        <w:jc w:val="left"/>
        <w:rPr>
          <w:rFonts w:ascii="仿宋" w:hAnsi="仿宋" w:eastAsia="仿宋" w:cs="仿宋"/>
          <w:b/>
          <w:bCs/>
          <w:kern w:val="0"/>
          <w:szCs w:val="21"/>
          <w:highlight w:val="none"/>
        </w:rPr>
      </w:pPr>
      <w:r>
        <w:rPr>
          <w:rFonts w:hint="eastAsia" w:ascii="仿宋" w:hAnsi="仿宋" w:eastAsia="仿宋" w:cs="仿宋"/>
          <w:b/>
          <w:bCs/>
          <w:kern w:val="0"/>
          <w:szCs w:val="21"/>
          <w:highlight w:val="none"/>
        </w:rPr>
        <w:t>14、服务承诺及售后服务机构、人员的情况介绍</w:t>
      </w:r>
    </w:p>
    <w:p>
      <w:pPr>
        <w:tabs>
          <w:tab w:val="left" w:pos="1035"/>
        </w:tabs>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bCs/>
          <w:kern w:val="0"/>
          <w:szCs w:val="21"/>
          <w:highlight w:val="none"/>
        </w:rPr>
        <w:t>14.1</w:t>
      </w:r>
      <w:r>
        <w:rPr>
          <w:rFonts w:hint="eastAsia" w:ascii="仿宋" w:hAnsi="仿宋" w:eastAsia="仿宋" w:cs="仿宋"/>
          <w:kern w:val="0"/>
          <w:szCs w:val="21"/>
          <w:highlight w:val="none"/>
        </w:rPr>
        <w:t>投标人的服务承诺应按不低于招标文件中商务要求的标准。</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bCs/>
          <w:kern w:val="0"/>
          <w:szCs w:val="21"/>
          <w:highlight w:val="none"/>
        </w:rPr>
        <w:t>14.2</w:t>
      </w:r>
      <w:r>
        <w:rPr>
          <w:rFonts w:hint="eastAsia" w:ascii="仿宋" w:hAnsi="仿宋" w:eastAsia="仿宋" w:cs="仿宋"/>
          <w:kern w:val="0"/>
          <w:szCs w:val="21"/>
          <w:highlight w:val="none"/>
        </w:rPr>
        <w:t>提供投标人有关售后服务的管理制度、售后服务机构的分布情况、售后服务人员的数量、素质、技术水平及售后服务的反应能力。</w:t>
      </w:r>
    </w:p>
    <w:p>
      <w:pPr>
        <w:pStyle w:val="5"/>
        <w:wordWrap w:val="0"/>
        <w:topLinePunct/>
        <w:adjustRightInd w:val="0"/>
        <w:snapToGrid w:val="0"/>
        <w:spacing w:before="0" w:after="0" w:line="360" w:lineRule="auto"/>
        <w:ind w:firstLine="422" w:firstLineChars="200"/>
        <w:jc w:val="left"/>
        <w:rPr>
          <w:rFonts w:ascii="仿宋" w:hAnsi="仿宋" w:eastAsia="仿宋" w:cs="仿宋"/>
          <w:b w:val="0"/>
          <w:bCs w:val="0"/>
          <w:sz w:val="21"/>
          <w:szCs w:val="21"/>
          <w:highlight w:val="none"/>
        </w:rPr>
      </w:pPr>
      <w:bookmarkStart w:id="78" w:name="_Toc49090510"/>
      <w:bookmarkStart w:id="79" w:name="_Toc14577359"/>
      <w:r>
        <w:rPr>
          <w:rFonts w:hint="eastAsia" w:ascii="仿宋" w:hAnsi="仿宋" w:eastAsia="仿宋" w:cs="仿宋"/>
          <w:bCs w:val="0"/>
          <w:sz w:val="21"/>
          <w:szCs w:val="21"/>
          <w:highlight w:val="none"/>
        </w:rPr>
        <w:t>15、投标函和开标一览表</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bCs/>
          <w:kern w:val="0"/>
          <w:szCs w:val="21"/>
          <w:highlight w:val="none"/>
        </w:rPr>
        <w:t>15.1</w:t>
      </w:r>
      <w:r>
        <w:rPr>
          <w:rFonts w:hint="eastAsia" w:ascii="仿宋" w:hAnsi="仿宋" w:eastAsia="仿宋" w:cs="仿宋"/>
          <w:kern w:val="0"/>
          <w:szCs w:val="21"/>
          <w:highlight w:val="none"/>
        </w:rPr>
        <w:t>投标人应按照招标文件中提供的格式完整、正确填写投标函、开标一览表。</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bCs/>
          <w:kern w:val="0"/>
          <w:szCs w:val="21"/>
          <w:highlight w:val="none"/>
        </w:rPr>
        <w:t>15.2</w:t>
      </w:r>
      <w:r>
        <w:rPr>
          <w:rFonts w:hint="eastAsia" w:ascii="仿宋" w:hAnsi="仿宋" w:eastAsia="仿宋" w:cs="仿宋"/>
          <w:bCs/>
          <w:i/>
          <w:kern w:val="0"/>
          <w:szCs w:val="21"/>
          <w:highlight w:val="none"/>
          <w:u w:val="single"/>
        </w:rPr>
        <w:t>开标一览表中的价格应与投标文件中投标分项报价表中的价格一致，如不一致，</w:t>
      </w:r>
      <w:r>
        <w:rPr>
          <w:rFonts w:hint="eastAsia" w:ascii="仿宋" w:hAnsi="仿宋" w:eastAsia="仿宋" w:cs="仿宋"/>
          <w:i/>
          <w:kern w:val="0"/>
          <w:szCs w:val="21"/>
          <w:highlight w:val="none"/>
          <w:u w:val="single"/>
        </w:rPr>
        <w:t>不作为无效投标处理</w:t>
      </w:r>
      <w:r>
        <w:rPr>
          <w:rFonts w:hint="eastAsia" w:ascii="仿宋" w:hAnsi="仿宋" w:eastAsia="仿宋" w:cs="仿宋"/>
          <w:bCs/>
          <w:i/>
          <w:kern w:val="0"/>
          <w:szCs w:val="21"/>
          <w:highlight w:val="none"/>
          <w:u w:val="single"/>
        </w:rPr>
        <w:t>，但评标时按开标一览表中价格为准</w:t>
      </w:r>
      <w:r>
        <w:rPr>
          <w:rFonts w:hint="eastAsia" w:ascii="仿宋" w:hAnsi="仿宋" w:eastAsia="仿宋" w:cs="仿宋"/>
          <w:b/>
          <w:bCs/>
          <w:i/>
          <w:kern w:val="0"/>
          <w:szCs w:val="21"/>
          <w:highlight w:val="none"/>
          <w:u w:val="single"/>
        </w:rPr>
        <w:t>。</w:t>
      </w:r>
    </w:p>
    <w:p>
      <w:pPr>
        <w:pStyle w:val="5"/>
        <w:wordWrap w:val="0"/>
        <w:topLinePunct/>
        <w:adjustRightInd w:val="0"/>
        <w:snapToGrid w:val="0"/>
        <w:spacing w:before="0" w:after="0" w:line="360" w:lineRule="auto"/>
        <w:ind w:firstLine="422" w:firstLineChars="200"/>
        <w:jc w:val="left"/>
        <w:rPr>
          <w:rFonts w:ascii="仿宋" w:hAnsi="仿宋" w:eastAsia="仿宋" w:cs="仿宋"/>
          <w:b w:val="0"/>
          <w:bCs w:val="0"/>
          <w:sz w:val="21"/>
          <w:szCs w:val="21"/>
          <w:highlight w:val="none"/>
        </w:rPr>
      </w:pPr>
      <w:r>
        <w:rPr>
          <w:rFonts w:hint="eastAsia" w:ascii="仿宋" w:hAnsi="仿宋" w:eastAsia="仿宋" w:cs="仿宋"/>
          <w:bCs w:val="0"/>
          <w:sz w:val="21"/>
          <w:szCs w:val="21"/>
          <w:highlight w:val="none"/>
        </w:rPr>
        <w:t>16、投标保证金</w:t>
      </w:r>
      <w:bookmarkEnd w:id="78"/>
      <w:bookmarkEnd w:id="79"/>
    </w:p>
    <w:p>
      <w:pPr>
        <w:pStyle w:val="5"/>
        <w:wordWrap w:val="0"/>
        <w:topLinePunct/>
        <w:adjustRightInd w:val="0"/>
        <w:snapToGrid w:val="0"/>
        <w:spacing w:before="0" w:after="0" w:line="360" w:lineRule="auto"/>
        <w:ind w:firstLine="420" w:firstLineChars="200"/>
        <w:jc w:val="left"/>
        <w:rPr>
          <w:rFonts w:ascii="仿宋" w:hAnsi="仿宋" w:eastAsia="仿宋" w:cs="仿宋"/>
          <w:b w:val="0"/>
          <w:sz w:val="21"/>
          <w:szCs w:val="21"/>
          <w:highlight w:val="none"/>
        </w:rPr>
      </w:pPr>
      <w:bookmarkStart w:id="80" w:name="_Toc14577360"/>
      <w:bookmarkStart w:id="81" w:name="_Toc49090511"/>
      <w:r>
        <w:rPr>
          <w:rFonts w:hint="eastAsia" w:ascii="仿宋" w:hAnsi="仿宋" w:eastAsia="仿宋" w:cs="仿宋"/>
          <w:b w:val="0"/>
          <w:sz w:val="21"/>
          <w:szCs w:val="21"/>
          <w:highlight w:val="none"/>
        </w:rPr>
        <w:t>本项目不收取投标保证金。</w:t>
      </w:r>
    </w:p>
    <w:p>
      <w:pPr>
        <w:pStyle w:val="5"/>
        <w:wordWrap w:val="0"/>
        <w:topLinePunct/>
        <w:adjustRightInd w:val="0"/>
        <w:snapToGrid w:val="0"/>
        <w:spacing w:before="0" w:after="0" w:line="360" w:lineRule="auto"/>
        <w:ind w:firstLine="422" w:firstLineChars="200"/>
        <w:jc w:val="left"/>
        <w:rPr>
          <w:rFonts w:ascii="仿宋" w:hAnsi="仿宋" w:eastAsia="仿宋" w:cs="仿宋"/>
          <w:b w:val="0"/>
          <w:bCs w:val="0"/>
          <w:sz w:val="21"/>
          <w:szCs w:val="21"/>
          <w:highlight w:val="none"/>
        </w:rPr>
      </w:pPr>
      <w:r>
        <w:rPr>
          <w:rFonts w:hint="eastAsia" w:ascii="仿宋" w:hAnsi="仿宋" w:eastAsia="仿宋" w:cs="仿宋"/>
          <w:bCs w:val="0"/>
          <w:sz w:val="21"/>
          <w:szCs w:val="21"/>
          <w:highlight w:val="none"/>
        </w:rPr>
        <w:t>17、投标有效期</w:t>
      </w:r>
      <w:bookmarkEnd w:id="80"/>
      <w:bookmarkEnd w:id="81"/>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kern w:val="0"/>
          <w:szCs w:val="21"/>
          <w:highlight w:val="none"/>
        </w:rPr>
        <w:t>17.1</w:t>
      </w:r>
      <w:r>
        <w:rPr>
          <w:rFonts w:hint="eastAsia" w:ascii="仿宋" w:hAnsi="仿宋" w:eastAsia="仿宋" w:cs="仿宋"/>
          <w:bCs/>
          <w:kern w:val="0"/>
          <w:szCs w:val="21"/>
          <w:highlight w:val="none"/>
        </w:rPr>
        <w:t>投标有效期为代理机构规定的开标之日起</w:t>
      </w:r>
      <w:r>
        <w:rPr>
          <w:rFonts w:hint="eastAsia" w:ascii="仿宋" w:hAnsi="仿宋" w:eastAsia="仿宋" w:cs="仿宋"/>
          <w:b/>
          <w:kern w:val="0"/>
          <w:szCs w:val="21"/>
          <w:highlight w:val="none"/>
          <w:u w:val="single"/>
        </w:rPr>
        <w:t>四十五（45）天</w:t>
      </w:r>
      <w:r>
        <w:rPr>
          <w:rFonts w:hint="eastAsia" w:ascii="仿宋" w:hAnsi="仿宋" w:eastAsia="仿宋" w:cs="仿宋"/>
          <w:bCs/>
          <w:kern w:val="0"/>
          <w:szCs w:val="21"/>
          <w:highlight w:val="none"/>
        </w:rPr>
        <w:t>。投标有效期比规定短的将被视为非响应性投标而予以拒绝。</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kern w:val="0"/>
          <w:szCs w:val="21"/>
          <w:highlight w:val="none"/>
        </w:rPr>
        <w:t>17.2</w:t>
      </w:r>
      <w:r>
        <w:rPr>
          <w:rFonts w:hint="eastAsia" w:ascii="仿宋" w:hAnsi="仿宋" w:eastAsia="仿宋" w:cs="仿宋"/>
          <w:bCs/>
          <w:kern w:val="0"/>
          <w:szCs w:val="21"/>
          <w:highlight w:val="none"/>
        </w:rPr>
        <w:t>在特殊情况下，代理机构于原投标有效期满之前，可向投标人提出延长投标有效期的要求。这种要求与答复均应采用书面形式。投标人可以拒绝代理机构的这一要求而放弃投标</w:t>
      </w:r>
      <w:r>
        <w:rPr>
          <w:rFonts w:hint="eastAsia" w:ascii="仿宋" w:hAnsi="仿宋" w:eastAsia="仿宋" w:cs="仿宋"/>
          <w:kern w:val="0"/>
          <w:szCs w:val="21"/>
          <w:highlight w:val="none"/>
        </w:rPr>
        <w:t>；</w:t>
      </w:r>
      <w:r>
        <w:rPr>
          <w:rFonts w:hint="eastAsia" w:ascii="仿宋" w:hAnsi="仿宋" w:eastAsia="仿宋" w:cs="仿宋"/>
          <w:bCs/>
          <w:kern w:val="0"/>
          <w:szCs w:val="21"/>
          <w:highlight w:val="none"/>
        </w:rPr>
        <w:t>同意延长投标有效期的投标人既不能要求也不允许修改其投标文件。</w:t>
      </w:r>
    </w:p>
    <w:p>
      <w:pPr>
        <w:pStyle w:val="5"/>
        <w:wordWrap w:val="0"/>
        <w:topLinePunct/>
        <w:adjustRightInd w:val="0"/>
        <w:snapToGrid w:val="0"/>
        <w:spacing w:before="0" w:after="0" w:line="360" w:lineRule="auto"/>
        <w:ind w:firstLine="422" w:firstLineChars="200"/>
        <w:jc w:val="left"/>
        <w:rPr>
          <w:rFonts w:ascii="仿宋" w:hAnsi="仿宋" w:eastAsia="仿宋" w:cs="仿宋"/>
          <w:b w:val="0"/>
          <w:bCs w:val="0"/>
          <w:sz w:val="21"/>
          <w:szCs w:val="21"/>
          <w:highlight w:val="none"/>
        </w:rPr>
      </w:pPr>
      <w:bookmarkStart w:id="82" w:name="_Toc49090512"/>
      <w:bookmarkStart w:id="83" w:name="_Toc14577361"/>
      <w:r>
        <w:rPr>
          <w:rFonts w:hint="eastAsia" w:ascii="仿宋" w:hAnsi="仿宋" w:eastAsia="仿宋" w:cs="仿宋"/>
          <w:bCs w:val="0"/>
          <w:sz w:val="21"/>
          <w:szCs w:val="21"/>
          <w:highlight w:val="none"/>
        </w:rPr>
        <w:t>18、投标文件份数和签署</w:t>
      </w:r>
      <w:bookmarkEnd w:id="82"/>
      <w:bookmarkEnd w:id="83"/>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kern w:val="0"/>
          <w:szCs w:val="21"/>
          <w:highlight w:val="none"/>
        </w:rPr>
        <w:t>18.1</w:t>
      </w:r>
      <w:r>
        <w:rPr>
          <w:rFonts w:hint="eastAsia" w:ascii="仿宋" w:hAnsi="仿宋" w:eastAsia="仿宋" w:cs="仿宋"/>
          <w:bCs/>
          <w:kern w:val="0"/>
          <w:szCs w:val="21"/>
          <w:highlight w:val="none"/>
        </w:rPr>
        <w:t>投标人应严格按照招标公告和招标文件要求的份数准备投标文件，每份投标文件须清楚地标明“正本”或“副本”字样。一旦正本和副本不符，以正本为准。</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kern w:val="0"/>
          <w:szCs w:val="21"/>
          <w:highlight w:val="none"/>
        </w:rPr>
        <w:t>18.2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本采购文件所表述（指定）的“签字”是指当事人用不褪色墨水书写签名，非签字章。</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18.3</w:t>
      </w:r>
      <w:r>
        <w:rPr>
          <w:rFonts w:hint="eastAsia" w:ascii="仿宋" w:hAnsi="仿宋" w:eastAsia="仿宋" w:cs="仿宋"/>
          <w:bCs/>
          <w:kern w:val="0"/>
          <w:szCs w:val="21"/>
          <w:highlight w:val="none"/>
        </w:rPr>
        <w:t>除投标人对错处做必要修改外，投标文件不得行间插字、涂改或增删。如有修改错漏处，必须由法定代表人或授权代表签字或投标人盖章。</w:t>
      </w:r>
    </w:p>
    <w:p>
      <w:pPr>
        <w:pStyle w:val="5"/>
        <w:wordWrap w:val="0"/>
        <w:topLinePunct/>
        <w:adjustRightInd w:val="0"/>
        <w:snapToGrid w:val="0"/>
        <w:spacing w:before="0" w:after="0" w:line="360" w:lineRule="auto"/>
        <w:ind w:firstLine="422" w:firstLineChars="200"/>
        <w:jc w:val="left"/>
        <w:rPr>
          <w:rFonts w:ascii="仿宋" w:hAnsi="仿宋" w:eastAsia="仿宋" w:cs="仿宋"/>
          <w:b w:val="0"/>
          <w:bCs w:val="0"/>
          <w:sz w:val="21"/>
          <w:szCs w:val="21"/>
          <w:highlight w:val="none"/>
        </w:rPr>
      </w:pPr>
      <w:bookmarkStart w:id="84" w:name="_Toc462564084"/>
      <w:bookmarkStart w:id="85" w:name="_Toc16938541"/>
      <w:bookmarkStart w:id="86" w:name="_Toc513029225"/>
      <w:bookmarkStart w:id="87" w:name="_Toc20823297"/>
      <w:r>
        <w:rPr>
          <w:rFonts w:hint="eastAsia" w:ascii="仿宋" w:hAnsi="仿宋" w:eastAsia="仿宋" w:cs="仿宋"/>
          <w:bCs w:val="0"/>
          <w:sz w:val="21"/>
          <w:szCs w:val="21"/>
          <w:highlight w:val="none"/>
        </w:rPr>
        <w:t>19、投标文件的密封和标记</w:t>
      </w:r>
      <w:bookmarkEnd w:id="84"/>
      <w:bookmarkEnd w:id="85"/>
      <w:bookmarkEnd w:id="86"/>
      <w:bookmarkEnd w:id="87"/>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kern w:val="0"/>
          <w:szCs w:val="21"/>
          <w:highlight w:val="none"/>
        </w:rPr>
        <w:t>19.1</w:t>
      </w:r>
      <w:r>
        <w:rPr>
          <w:rFonts w:hint="eastAsia" w:ascii="仿宋" w:hAnsi="仿宋" w:eastAsia="仿宋" w:cs="仿宋"/>
          <w:bCs/>
          <w:kern w:val="0"/>
          <w:szCs w:val="21"/>
          <w:highlight w:val="none"/>
        </w:rPr>
        <w:t>投标人应将投标文件正本和所有副本密封，不论投标人中标与否，投标文件均不退回。</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kern w:val="0"/>
          <w:szCs w:val="21"/>
          <w:highlight w:val="none"/>
        </w:rPr>
        <w:t>19.2</w:t>
      </w:r>
      <w:r>
        <w:rPr>
          <w:rFonts w:hint="eastAsia" w:ascii="仿宋" w:hAnsi="仿宋" w:eastAsia="仿宋" w:cs="仿宋"/>
          <w:bCs/>
          <w:kern w:val="0"/>
          <w:szCs w:val="21"/>
          <w:highlight w:val="none"/>
        </w:rPr>
        <w:t>密封的投标文件应：</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19.2.1注明投标人名称，如因标注不清而产生的后果由投标人自负。按招标公告中注明的地址送达；</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19.2.2注明投标项目名称、标书编号及包号。</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kern w:val="0"/>
          <w:szCs w:val="21"/>
          <w:highlight w:val="none"/>
        </w:rPr>
        <w:t>19.2.3</w:t>
      </w:r>
      <w:r>
        <w:rPr>
          <w:rFonts w:hint="eastAsia" w:ascii="仿宋" w:hAnsi="仿宋" w:eastAsia="仿宋" w:cs="仿宋"/>
          <w:bCs/>
          <w:kern w:val="0"/>
          <w:szCs w:val="21"/>
          <w:highlight w:val="none"/>
        </w:rPr>
        <w:t>未按要求密封和加写标记，代理机构对误投或过早启封概不负责。对由此造成提前开封的投标文件，代理机构将予以拒绝，作无效投标处理。</w:t>
      </w:r>
    </w:p>
    <w:p>
      <w:pPr>
        <w:pStyle w:val="5"/>
        <w:wordWrap w:val="0"/>
        <w:topLinePunct/>
        <w:adjustRightInd w:val="0"/>
        <w:snapToGrid w:val="0"/>
        <w:spacing w:before="0" w:after="0" w:line="360" w:lineRule="auto"/>
        <w:ind w:firstLine="422" w:firstLineChars="200"/>
        <w:jc w:val="left"/>
        <w:rPr>
          <w:rFonts w:ascii="仿宋" w:hAnsi="仿宋" w:eastAsia="仿宋" w:cs="仿宋"/>
          <w:bCs w:val="0"/>
          <w:sz w:val="21"/>
          <w:szCs w:val="21"/>
          <w:highlight w:val="none"/>
        </w:rPr>
      </w:pPr>
      <w:bookmarkStart w:id="88" w:name="_Toc513029226"/>
      <w:bookmarkStart w:id="89" w:name="_Toc16938542"/>
      <w:bookmarkStart w:id="90" w:name="_Toc20823298"/>
      <w:r>
        <w:rPr>
          <w:rFonts w:hint="eastAsia" w:ascii="仿宋" w:hAnsi="仿宋" w:eastAsia="仿宋" w:cs="仿宋"/>
          <w:bCs w:val="0"/>
          <w:sz w:val="21"/>
          <w:szCs w:val="21"/>
          <w:highlight w:val="none"/>
        </w:rPr>
        <w:t>20、投标截止日期</w:t>
      </w:r>
      <w:bookmarkEnd w:id="88"/>
      <w:bookmarkEnd w:id="89"/>
      <w:bookmarkEnd w:id="90"/>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kern w:val="0"/>
          <w:szCs w:val="21"/>
          <w:highlight w:val="none"/>
        </w:rPr>
        <w:t>20.1</w:t>
      </w:r>
      <w:r>
        <w:rPr>
          <w:rFonts w:hint="eastAsia" w:ascii="仿宋" w:hAnsi="仿宋" w:eastAsia="仿宋" w:cs="仿宋"/>
          <w:bCs/>
          <w:kern w:val="0"/>
          <w:szCs w:val="21"/>
          <w:highlight w:val="none"/>
        </w:rPr>
        <w:t>代理机构收到投标文件的时间不得迟于招标公告中规定的截止时间。</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kern w:val="0"/>
          <w:szCs w:val="21"/>
          <w:highlight w:val="none"/>
        </w:rPr>
        <w:t>20.2</w:t>
      </w:r>
      <w:r>
        <w:rPr>
          <w:rFonts w:hint="eastAsia" w:ascii="仿宋" w:hAnsi="仿宋" w:eastAsia="仿宋" w:cs="仿宋"/>
          <w:bCs/>
          <w:kern w:val="0"/>
          <w:szCs w:val="21"/>
          <w:highlight w:val="none"/>
        </w:rPr>
        <w:t>代理机构可以通过修改招标文件酌情延长投标截止日期，在此情况下，投标人的所有权利和义务以及投标人受制的截止日期均应以延长后新的截止日期为准。</w:t>
      </w:r>
    </w:p>
    <w:p>
      <w:pPr>
        <w:pStyle w:val="5"/>
        <w:wordWrap w:val="0"/>
        <w:topLinePunct/>
        <w:adjustRightInd w:val="0"/>
        <w:snapToGrid w:val="0"/>
        <w:spacing w:before="0" w:after="0" w:line="360" w:lineRule="auto"/>
        <w:ind w:firstLine="422" w:firstLineChars="200"/>
        <w:jc w:val="left"/>
        <w:rPr>
          <w:rFonts w:ascii="仿宋" w:hAnsi="仿宋" w:eastAsia="仿宋" w:cs="仿宋"/>
          <w:bCs w:val="0"/>
          <w:sz w:val="21"/>
          <w:szCs w:val="21"/>
          <w:highlight w:val="none"/>
        </w:rPr>
      </w:pPr>
      <w:bookmarkStart w:id="91" w:name="_Toc513029227"/>
      <w:bookmarkStart w:id="92" w:name="_Toc20823299"/>
      <w:bookmarkStart w:id="93" w:name="_Toc16938543"/>
      <w:r>
        <w:rPr>
          <w:rFonts w:hint="eastAsia" w:ascii="仿宋" w:hAnsi="仿宋" w:eastAsia="仿宋" w:cs="仿宋"/>
          <w:bCs w:val="0"/>
          <w:sz w:val="21"/>
          <w:szCs w:val="21"/>
          <w:highlight w:val="none"/>
        </w:rPr>
        <w:t>21、迟交的投标文件</w:t>
      </w:r>
      <w:bookmarkEnd w:id="91"/>
      <w:bookmarkEnd w:id="92"/>
      <w:bookmarkEnd w:id="93"/>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kern w:val="0"/>
          <w:szCs w:val="21"/>
          <w:highlight w:val="none"/>
        </w:rPr>
        <w:t>21.1</w:t>
      </w:r>
      <w:r>
        <w:rPr>
          <w:rFonts w:hint="eastAsia" w:ascii="仿宋" w:hAnsi="仿宋" w:eastAsia="仿宋" w:cs="仿宋"/>
          <w:bCs/>
          <w:kern w:val="0"/>
          <w:szCs w:val="21"/>
          <w:highlight w:val="none"/>
        </w:rPr>
        <w:t>代理机构拒绝接收在其规定的投标截止时间后递交的任何投标文件。</w:t>
      </w:r>
    </w:p>
    <w:p>
      <w:pPr>
        <w:pStyle w:val="5"/>
        <w:wordWrap w:val="0"/>
        <w:topLinePunct/>
        <w:adjustRightInd w:val="0"/>
        <w:snapToGrid w:val="0"/>
        <w:spacing w:before="0" w:after="0" w:line="360" w:lineRule="auto"/>
        <w:ind w:firstLine="422" w:firstLineChars="200"/>
        <w:jc w:val="left"/>
        <w:rPr>
          <w:rFonts w:ascii="仿宋" w:hAnsi="仿宋" w:eastAsia="仿宋" w:cs="仿宋"/>
          <w:b w:val="0"/>
          <w:bCs w:val="0"/>
          <w:sz w:val="21"/>
          <w:szCs w:val="21"/>
          <w:highlight w:val="none"/>
        </w:rPr>
      </w:pPr>
      <w:bookmarkStart w:id="94" w:name="_Toc513029228"/>
      <w:bookmarkStart w:id="95" w:name="_Toc16938544"/>
      <w:bookmarkStart w:id="96" w:name="_Toc20823300"/>
      <w:r>
        <w:rPr>
          <w:rFonts w:hint="eastAsia" w:ascii="仿宋" w:hAnsi="仿宋" w:eastAsia="仿宋" w:cs="仿宋"/>
          <w:bCs w:val="0"/>
          <w:sz w:val="21"/>
          <w:szCs w:val="21"/>
          <w:highlight w:val="none"/>
        </w:rPr>
        <w:t>22、投标文件的修改和撤回</w:t>
      </w:r>
      <w:bookmarkEnd w:id="94"/>
      <w:bookmarkEnd w:id="95"/>
      <w:bookmarkEnd w:id="96"/>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22.1</w:t>
      </w:r>
      <w:r>
        <w:rPr>
          <w:rFonts w:hint="eastAsia" w:ascii="仿宋" w:hAnsi="仿宋" w:eastAsia="仿宋" w:cs="仿宋"/>
          <w:bCs/>
          <w:kern w:val="0"/>
          <w:szCs w:val="21"/>
          <w:highlight w:val="none"/>
        </w:rPr>
        <w:t>投标人在递交投标文件后，可以修改或撤回其投标文件，但这种修改和撤回，必须在规定的投标截止时间前，以书面形式</w:t>
      </w:r>
      <w:r>
        <w:rPr>
          <w:rFonts w:hint="eastAsia" w:ascii="仿宋" w:hAnsi="仿宋" w:eastAsia="仿宋" w:cs="仿宋"/>
          <w:kern w:val="0"/>
          <w:szCs w:val="21"/>
          <w:highlight w:val="none"/>
        </w:rPr>
        <w:t>通知代理机构，否则，代理机构将拒绝。</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22.2</w:t>
      </w:r>
      <w:r>
        <w:rPr>
          <w:rFonts w:hint="eastAsia" w:ascii="仿宋" w:hAnsi="仿宋" w:eastAsia="仿宋" w:cs="仿宋"/>
          <w:bCs/>
          <w:kern w:val="0"/>
          <w:szCs w:val="21"/>
          <w:highlight w:val="none"/>
        </w:rPr>
        <w:t>投标人的修改或撤回文件应按规定进行编制、密封、标记和发送，并应在封套上加注“修改”或“撤回”字样。</w:t>
      </w:r>
      <w:r>
        <w:rPr>
          <w:rFonts w:hint="eastAsia" w:ascii="仿宋" w:hAnsi="仿宋" w:eastAsia="仿宋" w:cs="仿宋"/>
          <w:kern w:val="0"/>
          <w:szCs w:val="21"/>
          <w:highlight w:val="none"/>
        </w:rPr>
        <w:t>上述补充或修改若涉及投标报价，必须注明“最后唯一报价”字样，否则将视为有选择的报价。修改文件必须在投标截止时间前送达代理机构。</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kern w:val="0"/>
          <w:szCs w:val="21"/>
          <w:highlight w:val="none"/>
        </w:rPr>
        <w:t>22.3</w:t>
      </w:r>
      <w:r>
        <w:rPr>
          <w:rFonts w:hint="eastAsia" w:ascii="仿宋" w:hAnsi="仿宋" w:eastAsia="仿宋" w:cs="仿宋"/>
          <w:bCs/>
          <w:kern w:val="0"/>
          <w:szCs w:val="21"/>
          <w:highlight w:val="none"/>
        </w:rPr>
        <w:t>在投标截止时间之后，投标人不得对其投标文件作任何修改。</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22.4</w:t>
      </w:r>
      <w:r>
        <w:rPr>
          <w:rFonts w:hint="eastAsia" w:ascii="仿宋" w:hAnsi="仿宋" w:eastAsia="仿宋" w:cs="仿宋"/>
          <w:bCs/>
          <w:kern w:val="0"/>
          <w:szCs w:val="21"/>
          <w:highlight w:val="none"/>
        </w:rPr>
        <w:t>在投标截止时间至招标文件中规定的投标有效期满之间的这段时间内，投标人不得撤回其投标。</w:t>
      </w:r>
    </w:p>
    <w:p>
      <w:pPr>
        <w:pStyle w:val="5"/>
        <w:wordWrap w:val="0"/>
        <w:topLinePunct/>
        <w:adjustRightInd w:val="0"/>
        <w:snapToGrid w:val="0"/>
        <w:spacing w:before="0" w:after="0" w:line="360" w:lineRule="auto"/>
        <w:ind w:firstLine="422" w:firstLineChars="200"/>
        <w:jc w:val="left"/>
        <w:rPr>
          <w:rFonts w:ascii="仿宋" w:hAnsi="仿宋" w:eastAsia="仿宋" w:cs="仿宋"/>
          <w:b w:val="0"/>
          <w:bCs w:val="0"/>
          <w:sz w:val="21"/>
          <w:szCs w:val="21"/>
          <w:highlight w:val="none"/>
        </w:rPr>
      </w:pPr>
      <w:bookmarkStart w:id="97" w:name="_Toc16938546"/>
      <w:bookmarkStart w:id="98" w:name="_Toc20823302"/>
      <w:bookmarkStart w:id="99" w:name="_Toc513029230"/>
      <w:r>
        <w:rPr>
          <w:rFonts w:hint="eastAsia" w:ascii="仿宋" w:hAnsi="仿宋" w:eastAsia="仿宋" w:cs="仿宋"/>
          <w:bCs w:val="0"/>
          <w:sz w:val="21"/>
          <w:szCs w:val="21"/>
          <w:highlight w:val="none"/>
        </w:rPr>
        <w:t>23、开标</w:t>
      </w:r>
      <w:bookmarkEnd w:id="97"/>
      <w:bookmarkEnd w:id="98"/>
      <w:bookmarkEnd w:id="99"/>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23.1</w:t>
      </w:r>
      <w:r>
        <w:rPr>
          <w:rFonts w:hint="eastAsia" w:ascii="仿宋" w:hAnsi="仿宋" w:eastAsia="仿宋" w:cs="仿宋"/>
          <w:bCs/>
          <w:kern w:val="0"/>
          <w:szCs w:val="21"/>
          <w:highlight w:val="none"/>
        </w:rPr>
        <w:t>代理机构将在招标公告中规定的时间和地点组织公开开标</w:t>
      </w:r>
      <w:r>
        <w:rPr>
          <w:rFonts w:hint="eastAsia" w:ascii="仿宋" w:hAnsi="仿宋" w:eastAsia="仿宋" w:cs="仿宋"/>
          <w:kern w:val="0"/>
          <w:szCs w:val="21"/>
          <w:highlight w:val="none"/>
        </w:rPr>
        <w:t>。投标人应委派携带有效证件的代表准时参加，参加开标的代表需签名以证明其出席。投标人未参加开标的，视同认可开标结果。</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bCs/>
          <w:kern w:val="0"/>
          <w:szCs w:val="21"/>
          <w:highlight w:val="none"/>
        </w:rPr>
        <w:t>23.2</w:t>
      </w:r>
      <w:r>
        <w:rPr>
          <w:rFonts w:hint="eastAsia" w:ascii="仿宋" w:hAnsi="仿宋" w:eastAsia="仿宋" w:cs="仿宋"/>
          <w:kern w:val="0"/>
          <w:szCs w:val="21"/>
          <w:highlight w:val="none"/>
        </w:rPr>
        <w:t>开标仪式由代理机构组织，采购人代表、监委、投标人代表等参加。</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kern w:val="0"/>
          <w:szCs w:val="21"/>
          <w:highlight w:val="none"/>
        </w:rPr>
        <w:t>23.3</w:t>
      </w:r>
      <w:r>
        <w:rPr>
          <w:rFonts w:hint="eastAsia" w:ascii="仿宋" w:hAnsi="仿宋" w:eastAsia="仿宋" w:cs="仿宋"/>
          <w:bCs/>
          <w:kern w:val="0"/>
          <w:szCs w:val="21"/>
          <w:highlight w:val="none"/>
        </w:rPr>
        <w:t>按照规定同意撤回的投标文件将不予开封。</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23.4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23.5代理机构将指定专人负责开标记录并存档备查，各投标人需仔细核对开标纪录相关内容并签字确认。</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23.6投标人在报价时不允许采用选择性报价，否则将被视为无效投标。</w:t>
      </w:r>
    </w:p>
    <w:p>
      <w:pPr>
        <w:pStyle w:val="5"/>
        <w:wordWrap w:val="0"/>
        <w:topLinePunct/>
        <w:adjustRightInd w:val="0"/>
        <w:snapToGrid w:val="0"/>
        <w:spacing w:before="0" w:after="0" w:line="360" w:lineRule="auto"/>
        <w:ind w:firstLine="422" w:firstLineChars="200"/>
        <w:jc w:val="left"/>
        <w:rPr>
          <w:rFonts w:ascii="仿宋" w:hAnsi="仿宋" w:eastAsia="仿宋" w:cs="仿宋"/>
          <w:b w:val="0"/>
          <w:bCs w:val="0"/>
          <w:sz w:val="21"/>
          <w:szCs w:val="21"/>
          <w:highlight w:val="none"/>
        </w:rPr>
      </w:pPr>
      <w:bookmarkStart w:id="100" w:name="_Toc513029231"/>
      <w:bookmarkStart w:id="101" w:name="_Toc16938547"/>
      <w:bookmarkStart w:id="102" w:name="_Toc20823303"/>
      <w:r>
        <w:rPr>
          <w:rFonts w:hint="eastAsia" w:ascii="仿宋" w:hAnsi="仿宋" w:eastAsia="仿宋" w:cs="仿宋"/>
          <w:bCs w:val="0"/>
          <w:sz w:val="21"/>
          <w:szCs w:val="21"/>
          <w:highlight w:val="none"/>
        </w:rPr>
        <w:t>24、评标委员会</w:t>
      </w:r>
    </w:p>
    <w:p>
      <w:pPr>
        <w:wordWrap w:val="0"/>
        <w:topLinePunct/>
        <w:adjustRightInd w:val="0"/>
        <w:snapToGrid w:val="0"/>
        <w:spacing w:line="360" w:lineRule="auto"/>
        <w:ind w:firstLine="420" w:firstLineChars="200"/>
        <w:jc w:val="left"/>
        <w:rPr>
          <w:rFonts w:ascii="仿宋" w:hAnsi="仿宋" w:eastAsia="仿宋" w:cs="仿宋"/>
          <w:b/>
          <w:kern w:val="0"/>
          <w:szCs w:val="21"/>
          <w:highlight w:val="none"/>
        </w:rPr>
      </w:pPr>
      <w:r>
        <w:rPr>
          <w:rFonts w:hint="eastAsia" w:ascii="仿宋" w:hAnsi="仿宋" w:eastAsia="仿宋" w:cs="仿宋"/>
          <w:kern w:val="0"/>
          <w:szCs w:val="21"/>
          <w:highlight w:val="none"/>
        </w:rPr>
        <w:t>24.1开标后，代理机构将立即组织评标委员会（以下简称评委会）进行评标。</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24.2评委会由采购人代表和有关技术、经济等方面的专家组成，且人员构成符合有关规定。</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24.3评委会独立工作，负责评审所有投标文件并确定中标候选人。</w:t>
      </w:r>
    </w:p>
    <w:p>
      <w:pPr>
        <w:pStyle w:val="5"/>
        <w:wordWrap w:val="0"/>
        <w:topLinePunct/>
        <w:adjustRightInd w:val="0"/>
        <w:snapToGrid w:val="0"/>
        <w:spacing w:before="0" w:after="0" w:line="360" w:lineRule="auto"/>
        <w:ind w:firstLine="422" w:firstLineChars="200"/>
        <w:jc w:val="left"/>
        <w:rPr>
          <w:rFonts w:ascii="仿宋" w:hAnsi="仿宋" w:eastAsia="仿宋" w:cs="仿宋"/>
          <w:b w:val="0"/>
          <w:bCs w:val="0"/>
          <w:sz w:val="21"/>
          <w:szCs w:val="21"/>
          <w:highlight w:val="none"/>
        </w:rPr>
      </w:pPr>
      <w:r>
        <w:rPr>
          <w:rFonts w:hint="eastAsia" w:ascii="仿宋" w:hAnsi="仿宋" w:eastAsia="仿宋" w:cs="仿宋"/>
          <w:bCs w:val="0"/>
          <w:sz w:val="21"/>
          <w:szCs w:val="21"/>
          <w:highlight w:val="none"/>
        </w:rPr>
        <w:t>25、评标过程的保密与公正</w:t>
      </w:r>
    </w:p>
    <w:bookmarkEnd w:id="100"/>
    <w:bookmarkEnd w:id="101"/>
    <w:bookmarkEnd w:id="102"/>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kern w:val="0"/>
          <w:szCs w:val="21"/>
          <w:highlight w:val="none"/>
        </w:rPr>
        <w:t>25.1</w:t>
      </w:r>
      <w:r>
        <w:rPr>
          <w:rFonts w:hint="eastAsia" w:ascii="仿宋" w:hAnsi="仿宋" w:eastAsia="仿宋" w:cs="仿宋"/>
          <w:bCs/>
          <w:kern w:val="0"/>
          <w:szCs w:val="21"/>
          <w:highlight w:val="none"/>
        </w:rPr>
        <w:t>公开开标后，直至签订合同之日止，凡是与审查、澄清、评价和比较投标的有关资料以及授标建议等，采购人、评委、代理机构工作人员均不得向投标人或与评标无关的其他人员透露。</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25.2招标人及招标代理机构将采取必要措施，保证评标在严格保密的情况下进行。</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25.3任何单位和个人不得非法干预、影响评标办法的确定，以及评标过程和结果。</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25.4在评标期间，代理机构将设专门工作人员与投标人联系。</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25.5代理机构和评委会不公布评标过程中的相关细节。</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25.6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pPr>
        <w:pStyle w:val="5"/>
        <w:wordWrap w:val="0"/>
        <w:topLinePunct/>
        <w:adjustRightInd w:val="0"/>
        <w:snapToGrid w:val="0"/>
        <w:spacing w:before="0" w:after="0" w:line="360" w:lineRule="auto"/>
        <w:ind w:firstLine="422" w:firstLineChars="200"/>
        <w:jc w:val="left"/>
        <w:rPr>
          <w:rFonts w:ascii="仿宋" w:hAnsi="仿宋" w:eastAsia="仿宋" w:cs="仿宋"/>
          <w:b w:val="0"/>
          <w:bCs w:val="0"/>
          <w:sz w:val="21"/>
          <w:szCs w:val="21"/>
          <w:highlight w:val="none"/>
        </w:rPr>
      </w:pPr>
      <w:bookmarkStart w:id="103" w:name="_Toc513029232"/>
      <w:bookmarkStart w:id="104" w:name="_Toc16938548"/>
      <w:bookmarkStart w:id="105" w:name="_Toc20823304"/>
      <w:r>
        <w:rPr>
          <w:rFonts w:hint="eastAsia" w:ascii="仿宋" w:hAnsi="仿宋" w:eastAsia="仿宋" w:cs="仿宋"/>
          <w:bCs w:val="0"/>
          <w:sz w:val="21"/>
          <w:szCs w:val="21"/>
          <w:highlight w:val="none"/>
        </w:rPr>
        <w:t>26、投标的澄清</w:t>
      </w:r>
      <w:bookmarkEnd w:id="103"/>
      <w:bookmarkEnd w:id="104"/>
      <w:bookmarkEnd w:id="105"/>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26.1评标期间，为有助于对投标文件的审查、评价和比较，评委会有权以书面形式要求投标人对其投标文件进行澄清，但并非对每个投标人都作澄清要求。</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26.2澄清有关问题。对投标文件中含义不明确、同类问题表述不一致或者明显文字和计算错误的内容，评标小组可以要求投标人作出必要的澄清、说明或者纠正。投标人的澄清、说明、补正应当采用书面形式，由其授权代表签字，但不得超出投标文件的范围或者改变投标文件的实质性内容。</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26.3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26.4接到评委会澄清要求的投标人如未按规定做出澄清，其风险由投标人自行承担。</w:t>
      </w:r>
    </w:p>
    <w:p>
      <w:pPr>
        <w:pStyle w:val="5"/>
        <w:wordWrap w:val="0"/>
        <w:topLinePunct/>
        <w:adjustRightInd w:val="0"/>
        <w:snapToGrid w:val="0"/>
        <w:spacing w:before="0" w:after="0" w:line="360" w:lineRule="auto"/>
        <w:ind w:firstLine="422" w:firstLineChars="200"/>
        <w:jc w:val="left"/>
        <w:rPr>
          <w:rFonts w:ascii="仿宋" w:hAnsi="仿宋" w:eastAsia="仿宋" w:cs="仿宋"/>
          <w:b w:val="0"/>
          <w:bCs w:val="0"/>
          <w:sz w:val="21"/>
          <w:szCs w:val="21"/>
          <w:highlight w:val="none"/>
        </w:rPr>
      </w:pPr>
      <w:bookmarkStart w:id="106" w:name="_Toc16938549"/>
      <w:bookmarkStart w:id="107" w:name="_Toc20823305"/>
      <w:bookmarkStart w:id="108" w:name="_Toc513029233"/>
      <w:r>
        <w:rPr>
          <w:rFonts w:hint="eastAsia" w:ascii="仿宋" w:hAnsi="仿宋" w:eastAsia="仿宋" w:cs="仿宋"/>
          <w:bCs w:val="0"/>
          <w:sz w:val="21"/>
          <w:szCs w:val="21"/>
          <w:highlight w:val="none"/>
        </w:rPr>
        <w:t>27、对投标文件的初审</w:t>
      </w:r>
      <w:bookmarkEnd w:id="106"/>
      <w:bookmarkEnd w:id="107"/>
      <w:bookmarkEnd w:id="108"/>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kern w:val="0"/>
          <w:szCs w:val="21"/>
          <w:highlight w:val="none"/>
        </w:rPr>
        <w:t>27.1</w:t>
      </w:r>
      <w:r>
        <w:rPr>
          <w:rFonts w:hint="eastAsia" w:ascii="仿宋" w:hAnsi="仿宋" w:eastAsia="仿宋" w:cs="仿宋"/>
          <w:bCs/>
          <w:kern w:val="0"/>
          <w:szCs w:val="21"/>
          <w:highlight w:val="none"/>
        </w:rPr>
        <w:t>投标文件初审分为资格检查和符合性检查。</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kern w:val="0"/>
          <w:szCs w:val="21"/>
          <w:highlight w:val="none"/>
        </w:rPr>
        <w:t>27.1.1</w:t>
      </w:r>
      <w:r>
        <w:rPr>
          <w:rFonts w:hint="eastAsia" w:ascii="仿宋" w:hAnsi="仿宋" w:eastAsia="仿宋" w:cs="仿宋"/>
          <w:bCs/>
          <w:kern w:val="0"/>
          <w:szCs w:val="21"/>
          <w:highlight w:val="none"/>
        </w:rPr>
        <w:t>资格审查：依据法律法规和招标文件的规定，对投标文件中资格证明、投标保证金等进行审查核对，以确定投标供应商是否具备投标资格。</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kern w:val="0"/>
          <w:szCs w:val="21"/>
          <w:highlight w:val="none"/>
        </w:rPr>
        <w:t>27.1.2</w:t>
      </w:r>
      <w:r>
        <w:rPr>
          <w:rFonts w:hint="eastAsia" w:ascii="仿宋" w:hAnsi="仿宋" w:eastAsia="仿宋" w:cs="仿宋"/>
          <w:bCs/>
          <w:kern w:val="0"/>
          <w:szCs w:val="21"/>
          <w:highlight w:val="none"/>
        </w:rPr>
        <w:t>符合性检查：依据招标文件的规定，从投标文件的有效性、完整性和对招标文件的响应程度进行审查，以确定是否对招标文件的实质性要求作出响应。</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27.2在详细评标之前，评委会将首先审查每份投标文件是否实质性响应了招标文件的要求。实质性响应的投标应该是与招标文件要求的全部条款、条件和规格相符，没有重大偏离或保留的投标。</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kern w:val="0"/>
          <w:szCs w:val="21"/>
          <w:highlight w:val="none"/>
        </w:rPr>
        <w:t>27.2.1所谓重大偏离或保留是指与招标文件规定的实质性要求存在负偏离，或者在实质上与招标文件不一致，而且限制了合同中买方（采购人）的权利或投标人的义务，纠正这些偏离或保留将会对其他实质性响应要求的投标人的竞争地位产生不公正的影响。是否属于重大偏离由评委会按照少数服从多数的原则作出结论。</w:t>
      </w:r>
      <w:r>
        <w:rPr>
          <w:rFonts w:hint="eastAsia" w:ascii="仿宋" w:hAnsi="仿宋" w:eastAsia="仿宋" w:cs="仿宋"/>
          <w:bCs/>
          <w:kern w:val="0"/>
          <w:szCs w:val="21"/>
          <w:highlight w:val="none"/>
        </w:rPr>
        <w:t>评委决定投标文件的响应性只根据投标文件本身的内容，而不寻求外部的证据。</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kern w:val="0"/>
          <w:szCs w:val="21"/>
          <w:highlight w:val="none"/>
        </w:rPr>
        <w:t>27.3</w:t>
      </w:r>
      <w:r>
        <w:rPr>
          <w:rFonts w:hint="eastAsia" w:ascii="仿宋" w:hAnsi="仿宋" w:eastAsia="仿宋" w:cs="仿宋"/>
          <w:bCs/>
          <w:kern w:val="0"/>
          <w:szCs w:val="21"/>
          <w:highlight w:val="none"/>
        </w:rPr>
        <w:t>如果投标文件实质上没有响应招标文件的要求，评委会将予以拒绝，投标人不得通过修改或撤销不合要求的偏离或保留而使其投标成为实质性响应的投标。</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kern w:val="0"/>
          <w:szCs w:val="21"/>
          <w:highlight w:val="none"/>
        </w:rPr>
        <w:t>27.4</w:t>
      </w:r>
      <w:r>
        <w:rPr>
          <w:rFonts w:hint="eastAsia" w:ascii="仿宋" w:hAnsi="仿宋" w:eastAsia="仿宋" w:cs="仿宋"/>
          <w:bCs/>
          <w:kern w:val="0"/>
          <w:szCs w:val="21"/>
          <w:highlight w:val="none"/>
        </w:rPr>
        <w:t>评委会将对确定为实质性响应的投标进行进一步审核，看其是否有计算上或累加上的算术错误，对开标一览表内容修正错误的原则如下：</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（1）投标文件中开标一览表内容与投标文件中相应内容不一致的，以开标一览表为准。</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（2）投标文件、“开标一览表”中报价的大写金额与小写金额不一致的，以大写金额为准。</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（3）单价金额小数点或者百分比有明显错位的，以开标一览表的总价为准，并修改单价。</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（4）总价金额与按单价汇总金额不一致的，以单价金额计算结果为准。</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同时出现两种以上错误的，按照前款规定的顺序修正。对不同文字文本投标文件的解释发生异议的，以中文文本为准。</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kern w:val="0"/>
          <w:szCs w:val="21"/>
          <w:highlight w:val="none"/>
        </w:rPr>
        <w:t>27.5</w:t>
      </w:r>
      <w:r>
        <w:rPr>
          <w:rFonts w:hint="eastAsia" w:ascii="仿宋" w:hAnsi="仿宋" w:eastAsia="仿宋" w:cs="仿宋"/>
          <w:bCs/>
          <w:kern w:val="0"/>
          <w:szCs w:val="21"/>
          <w:highlight w:val="none"/>
        </w:rPr>
        <w:t>评委会将按上述修正错误的方法调整投标文件中的投标报价，调整后的价格应对投标人具有约束力。如果投标人不接受修正后的价格，则其投标将被拒绝。</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kern w:val="0"/>
          <w:szCs w:val="21"/>
          <w:highlight w:val="none"/>
        </w:rPr>
        <w:t>27.6</w:t>
      </w:r>
      <w:r>
        <w:rPr>
          <w:rFonts w:hint="eastAsia" w:ascii="仿宋" w:hAnsi="仿宋" w:eastAsia="仿宋" w:cs="仿宋"/>
          <w:bCs/>
          <w:kern w:val="0"/>
          <w:szCs w:val="21"/>
          <w:highlight w:val="none"/>
        </w:rPr>
        <w:t>评委会将允许修正投标文件中不构成重大偏离的、微小的、非正规的、不一致的或不规则的地方，但这些修改不能影响任何投标人相应的名次排列，否则不允许修正。</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27.7.1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27.7.2非单一产品采购项目，招标文件中将载明其中的核心产品。多家投标人提供的核心产品品牌相同的，按前两款规定处理。</w:t>
      </w:r>
    </w:p>
    <w:p>
      <w:pPr>
        <w:pStyle w:val="5"/>
        <w:wordWrap w:val="0"/>
        <w:topLinePunct/>
        <w:adjustRightInd w:val="0"/>
        <w:snapToGrid w:val="0"/>
        <w:spacing w:before="0" w:after="0" w:line="360" w:lineRule="auto"/>
        <w:ind w:firstLine="422" w:firstLineChars="200"/>
        <w:jc w:val="left"/>
        <w:rPr>
          <w:rFonts w:ascii="仿宋" w:hAnsi="仿宋" w:eastAsia="仿宋" w:cs="仿宋"/>
          <w:b w:val="0"/>
          <w:bCs w:val="0"/>
          <w:sz w:val="21"/>
          <w:szCs w:val="21"/>
          <w:highlight w:val="none"/>
        </w:rPr>
      </w:pPr>
      <w:bookmarkStart w:id="109" w:name="_Toc16938550"/>
      <w:bookmarkStart w:id="110" w:name="_Toc20823306"/>
      <w:bookmarkStart w:id="111" w:name="_Toc513029234"/>
      <w:r>
        <w:rPr>
          <w:rFonts w:hint="eastAsia" w:ascii="仿宋" w:hAnsi="仿宋" w:eastAsia="仿宋" w:cs="仿宋"/>
          <w:bCs w:val="0"/>
          <w:sz w:val="21"/>
          <w:szCs w:val="21"/>
          <w:highlight w:val="none"/>
        </w:rPr>
        <w:t>28、</w:t>
      </w:r>
      <w:bookmarkEnd w:id="109"/>
      <w:bookmarkEnd w:id="110"/>
      <w:bookmarkEnd w:id="111"/>
      <w:r>
        <w:rPr>
          <w:rFonts w:hint="eastAsia" w:ascii="仿宋" w:hAnsi="仿宋" w:eastAsia="仿宋" w:cs="仿宋"/>
          <w:bCs w:val="0"/>
          <w:sz w:val="21"/>
          <w:szCs w:val="21"/>
          <w:highlight w:val="none"/>
        </w:rPr>
        <w:t>无效投标、废标及投标人不足三家的处理</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bookmarkStart w:id="112" w:name="_Toc20823307"/>
      <w:bookmarkStart w:id="113" w:name="_Toc16938551"/>
      <w:bookmarkStart w:id="114" w:name="_Toc513029235"/>
      <w:r>
        <w:rPr>
          <w:rFonts w:hint="eastAsia" w:ascii="仿宋" w:hAnsi="仿宋" w:eastAsia="仿宋" w:cs="仿宋"/>
          <w:bCs/>
          <w:kern w:val="0"/>
          <w:szCs w:val="21"/>
          <w:highlight w:val="none"/>
        </w:rPr>
        <w:t>28.1无效投标条款</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28.1.1未按照招标文件规定要求密封、签署、盖章的；</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28.1.2投标人在报价时采用选择性报价；</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28.1.3投标人不具备招标文件中规定资格要求的；</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28.1.4投标人的报价超过了采购预算或最高限价的；</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28.1.5未通过符合性检查的；</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28.1.6不符合招标文件中规定的其他实质性要求和条件的（</w:t>
      </w:r>
      <w:r>
        <w:rPr>
          <w:rFonts w:hint="eastAsia" w:ascii="仿宋" w:hAnsi="仿宋" w:eastAsia="仿宋" w:cs="仿宋"/>
          <w:bCs/>
          <w:i/>
          <w:kern w:val="0"/>
          <w:szCs w:val="21"/>
          <w:highlight w:val="none"/>
          <w:u w:val="single"/>
        </w:rPr>
        <w:t>本招标文件中斜体且有下划线部分为实质性要求和条件，包括但不限于该范围）；</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28.1.7投标人被“信用中国”网站（www.creditchina.gov.cn）、“中国政府采购网"（www.ccgp.gov.cn）列入失信被执行人或重大税收违法案件当事人名单或政府采购严重失信行为记录名单。</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28.1.8投标文件含有采购人不能接受的附加条件的。</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28.1.9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28.1.10其他法律、法规及本招标文件规定的属无效投标的情形。</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28.2废标条款：</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28.2.1符合专业条件的供应商或者对招标文件作实质响应的供应商不足三家的；</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28.2.2投标人的报价均超过采购预算或最高限价；</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28.2.3出现影响采购公正的违法、违规行为的；</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28.2.4因重大变故，采购任务取消的；</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28.2.5评标委员会认定招标文件存在歧义、重大缺陷导致评审工作无法进行。</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 xml:space="preserve">28.3投标截止时间结束后参加投标的投标人不足三家或者通过资格审查或符合性审查的投标人不足三家的，除采购任务取消情形外，按照以下方式处理： </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28.3.1招标文件存在不合理条款或者招标程序不符合规定的，由采购人、代理机构改正后依法重新招标；</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28.3.2招标文件没有不合理条款、招标程序符合规定，需要采用其他采购方式采购的，采购人应当依法报校主管部门批准。</w:t>
      </w:r>
    </w:p>
    <w:bookmarkEnd w:id="112"/>
    <w:bookmarkEnd w:id="113"/>
    <w:bookmarkEnd w:id="114"/>
    <w:p>
      <w:pPr>
        <w:pStyle w:val="5"/>
        <w:wordWrap w:val="0"/>
        <w:topLinePunct/>
        <w:adjustRightInd w:val="0"/>
        <w:snapToGrid w:val="0"/>
        <w:spacing w:before="0" w:after="0" w:line="360" w:lineRule="auto"/>
        <w:ind w:firstLine="422" w:firstLineChars="200"/>
        <w:jc w:val="left"/>
        <w:rPr>
          <w:rFonts w:ascii="仿宋" w:hAnsi="仿宋" w:eastAsia="仿宋" w:cs="仿宋"/>
          <w:b w:val="0"/>
          <w:sz w:val="21"/>
          <w:szCs w:val="21"/>
          <w:highlight w:val="none"/>
        </w:rPr>
      </w:pPr>
      <w:bookmarkStart w:id="115" w:name="_Toc513029238"/>
      <w:bookmarkStart w:id="116" w:name="_Toc16938554"/>
      <w:bookmarkStart w:id="117" w:name="_Toc20823310"/>
      <w:r>
        <w:rPr>
          <w:rFonts w:hint="eastAsia" w:ascii="仿宋" w:hAnsi="仿宋" w:eastAsia="仿宋" w:cs="仿宋"/>
          <w:sz w:val="21"/>
          <w:szCs w:val="21"/>
          <w:highlight w:val="none"/>
        </w:rPr>
        <w:t>29、</w:t>
      </w:r>
      <w:bookmarkEnd w:id="115"/>
      <w:r>
        <w:rPr>
          <w:rFonts w:hint="eastAsia" w:ascii="仿宋" w:hAnsi="仿宋" w:eastAsia="仿宋" w:cs="仿宋"/>
          <w:sz w:val="21"/>
          <w:szCs w:val="21"/>
          <w:highlight w:val="none"/>
        </w:rPr>
        <w:t>确定</w:t>
      </w:r>
      <w:bookmarkEnd w:id="116"/>
      <w:bookmarkEnd w:id="117"/>
      <w:r>
        <w:rPr>
          <w:rFonts w:hint="eastAsia" w:ascii="仿宋" w:hAnsi="仿宋" w:eastAsia="仿宋" w:cs="仿宋"/>
          <w:sz w:val="21"/>
          <w:szCs w:val="21"/>
          <w:highlight w:val="none"/>
        </w:rPr>
        <w:t>中标单位</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29.1评委会根据本招标文件规定评标方法与评标标准向采购人推荐出中标候选人。</w:t>
      </w:r>
    </w:p>
    <w:p>
      <w:pPr>
        <w:wordWrap w:val="0"/>
        <w:topLinePunct/>
        <w:adjustRightInd w:val="0"/>
        <w:snapToGrid w:val="0"/>
        <w:spacing w:line="360" w:lineRule="auto"/>
        <w:ind w:firstLine="420" w:firstLineChars="200"/>
        <w:jc w:val="left"/>
        <w:rPr>
          <w:rFonts w:ascii="仿宋" w:hAnsi="仿宋" w:eastAsia="仿宋" w:cs="仿宋"/>
          <w:bCs/>
          <w:kern w:val="0"/>
          <w:szCs w:val="21"/>
          <w:highlight w:val="none"/>
        </w:rPr>
      </w:pPr>
      <w:r>
        <w:rPr>
          <w:rFonts w:hint="eastAsia" w:ascii="仿宋" w:hAnsi="仿宋" w:eastAsia="仿宋" w:cs="仿宋"/>
          <w:bCs/>
          <w:kern w:val="0"/>
          <w:szCs w:val="21"/>
          <w:highlight w:val="none"/>
        </w:rPr>
        <w:t>29.2采购人应根据评委会推荐的中标候选人确定中标人。</w:t>
      </w:r>
    </w:p>
    <w:p>
      <w:pPr>
        <w:wordWrap w:val="0"/>
        <w:topLinePunct/>
        <w:adjustRightInd w:val="0"/>
        <w:snapToGrid w:val="0"/>
        <w:spacing w:line="360" w:lineRule="auto"/>
        <w:ind w:firstLine="420" w:firstLineChars="200"/>
        <w:jc w:val="left"/>
        <w:rPr>
          <w:rFonts w:ascii="仿宋" w:hAnsi="仿宋" w:eastAsia="仿宋" w:cs="仿宋"/>
          <w:kern w:val="0"/>
          <w:highlight w:val="none"/>
        </w:rPr>
      </w:pPr>
      <w:r>
        <w:rPr>
          <w:rFonts w:hint="eastAsia" w:ascii="仿宋" w:hAnsi="仿宋" w:eastAsia="仿宋" w:cs="仿宋"/>
          <w:bCs/>
          <w:kern w:val="0"/>
          <w:szCs w:val="21"/>
          <w:highlight w:val="none"/>
        </w:rPr>
        <w:t>29.3</w:t>
      </w:r>
      <w:r>
        <w:rPr>
          <w:rFonts w:hint="eastAsia" w:ascii="仿宋" w:hAnsi="仿宋" w:eastAsia="仿宋" w:cs="仿宋"/>
          <w:kern w:val="0"/>
          <w:szCs w:val="21"/>
          <w:highlight w:val="none"/>
        </w:rPr>
        <w:t>代理机构将在“</w:t>
      </w:r>
      <w:r>
        <w:rPr>
          <w:rFonts w:hint="eastAsia" w:ascii="仿宋" w:hAnsi="仿宋" w:eastAsia="仿宋" w:cs="仿宋"/>
          <w:kern w:val="0"/>
          <w:szCs w:val="21"/>
          <w:highlight w:val="none"/>
          <w:lang w:eastAsia="zh-CN"/>
        </w:rPr>
        <w:t>扬州市公共资源交易服务平台、扬州市城建国有资产控股（集团）有限公司</w:t>
      </w:r>
      <w:r>
        <w:rPr>
          <w:rFonts w:hint="eastAsia" w:ascii="仿宋" w:hAnsi="仿宋" w:eastAsia="仿宋" w:cs="仿宋"/>
          <w:kern w:val="0"/>
          <w:szCs w:val="21"/>
          <w:highlight w:val="none"/>
        </w:rPr>
        <w:t>网站”发布中标公告，公告期限为1个工作日。并同时向中标供应商发出中标通知书。对于按照规定程序产生的招标结果，招标单位对未中标单位不予解释。中标通知书对采购人和中标供应商具有同等法律效力。</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29.4若有充分证据证明，中标人出现下列情况之一的，一经查实，将被取消中标资格：</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29.4.1提供虚假材料谋取中标的；</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29.4.2向采购人、代理机构行贿或者提供其他不正当利益的；</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29.4.3恶意竞争，投标总报价明显低于其自身合理成本且又无法提供证明的；</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29.4.4属于本文件规定的无效条件，但在评标过程中又未被评委会发现的；</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29.4.5与采购人或者其他投标人串通投标的；</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29.4.6采取不正当手段诋毁、排挤其他供应商的；</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29.4.7不符合法律、法规的规定的。</w:t>
      </w:r>
      <w:bookmarkStart w:id="118" w:name="_Toc200451960"/>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29.5.有下列情形之一的，视为投标人串通投标，投标无效：</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29.5.1不同投标人的投标文件由同一单位或者个人编制。</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29.5.2不同投标人委托同一单位或者个人办理投标事宜。</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29.5.3不同投标人的投标文件载明的项目管理成员或者联系人员为同一人。</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29.5.4不同投标人的投标文件异常一致或者投标报价呈规律性差异。</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29.5.5不同投标人的投标文件相互混装。</w:t>
      </w:r>
    </w:p>
    <w:p>
      <w:pPr>
        <w:pStyle w:val="5"/>
        <w:wordWrap w:val="0"/>
        <w:topLinePunct/>
        <w:adjustRightInd w:val="0"/>
        <w:snapToGrid w:val="0"/>
        <w:spacing w:before="0" w:after="0" w:line="360" w:lineRule="auto"/>
        <w:ind w:firstLine="422" w:firstLineChars="200"/>
        <w:jc w:val="left"/>
        <w:rPr>
          <w:rFonts w:ascii="仿宋" w:hAnsi="仿宋" w:eastAsia="仿宋" w:cs="仿宋"/>
          <w:sz w:val="21"/>
          <w:szCs w:val="21"/>
          <w:highlight w:val="none"/>
        </w:rPr>
      </w:pPr>
      <w:r>
        <w:rPr>
          <w:rFonts w:hint="eastAsia" w:ascii="仿宋" w:hAnsi="仿宋" w:eastAsia="仿宋" w:cs="仿宋"/>
          <w:sz w:val="21"/>
          <w:szCs w:val="21"/>
          <w:highlight w:val="none"/>
        </w:rPr>
        <w:t>30、质疑处理</w:t>
      </w:r>
      <w:bookmarkEnd w:id="118"/>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30.1投标人认为采购文件、采购过程和中标结果使自己的权益受到损害的，可以在知道或应知其权益受到损害之日起七个工作日内，以书面形式向代理机构或采购人提出质疑。上述应知其权益受到损害之日，是指：</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30.1.1对可以质疑的采购文件提出质疑的，为收到采购文件之日或者采购文件公告期限届满之日；</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30.1.2对采购过程提出质疑的，为各采购程序环节结束之日；</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30.1.3对中标结果提出质疑的，为中标结果公告期限届满之日。</w:t>
      </w:r>
    </w:p>
    <w:p>
      <w:pPr>
        <w:wordWrap w:val="0"/>
        <w:topLinePunct/>
        <w:adjustRightInd w:val="0"/>
        <w:snapToGrid w:val="0"/>
        <w:spacing w:line="360" w:lineRule="auto"/>
        <w:ind w:firstLine="420" w:firstLineChars="200"/>
        <w:jc w:val="left"/>
        <w:rPr>
          <w:rFonts w:ascii="仿宋" w:hAnsi="仿宋" w:eastAsia="仿宋" w:cs="仿宋"/>
          <w:snapToGrid w:val="0"/>
          <w:kern w:val="0"/>
          <w:szCs w:val="21"/>
          <w:highlight w:val="none"/>
        </w:rPr>
      </w:pPr>
      <w:r>
        <w:rPr>
          <w:rFonts w:hint="eastAsia" w:ascii="仿宋" w:hAnsi="仿宋" w:eastAsia="仿宋" w:cs="仿宋"/>
          <w:kern w:val="0"/>
          <w:szCs w:val="21"/>
          <w:highlight w:val="none"/>
        </w:rPr>
        <w:t>30.2质疑必须按相关规定提交，未按上述要求提交的质疑函（含传真、电子邮件等）代理机构有权不予受理。</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30.3未参加投标活动的供应商或在投标活动中自身权益未受到损害的供应商所提出的质疑不予受理。</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30.4质疑申请应当包括下列内容：</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30.4.1质疑投标人的名称、地址、邮编、联系人、联系电话；</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30.4.2具体的质疑事项及明确的请求；</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30.4.3认为自己合法权益受到损害或可能受到损害的相关证据材料；</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30.4.4提起质疑的日期；</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30.4.5质疑申请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质疑人应在法定质疑期内一次性提出针对同一采购程序环节的质疑。</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30.5代理机构收到质疑申请后，将对质疑的形式和内容进行审查，如质疑内容、格式不符合规定，代理机构将告知质疑人进行补正。</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30.6质疑人应当在法定质疑期限内进行补正并重新提交质疑函，拒不补正或者在法定期限内未重新提交质疑函的，为无效质疑，代理机构有权不予受理。</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30.7对于内容、格式符合规定的质疑函，代理机构应当在收到投标供应商的书面质疑后七个工作日内作出答复，并以书面形式通知质疑供应商和其他有关供应商，但答复的内容不得涉及商业秘密。</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30.8诚实信用</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30.8.1投标人之间不得相互串通投标报价，不得妨碍其他投标人的公平竞争，不得损害采购人和其他投标人的合法权益。</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30.8.2投标人不得以向代理机构工作人员、评标委员会成员行贿或者采取其他不正当手段谋取中标。</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30.8.3投标人提出书面质疑必须有理、有据，不得虚假质疑和恶意质疑，并对质疑内容的真实性承担责任。如果投标人或者其他利害关系人通过捏造事实、伪造证明材料等方式提出质疑，干扰采购活动正常进行的，属于严重不良行为，代理机构将提请采购监管部门将其列入不良行为记录名单，并依法予以处罚。</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30.8.4投标人不得虚假承诺，否则，按照提供虚假材料谋取中标成交处理。</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30.8.5投标人应自觉遵守开标、评标纪律，扰乱开标评标现场秩序的，属于失信行为，失信行为将被记入投标人诚信档案。</w:t>
      </w:r>
    </w:p>
    <w:p>
      <w:pPr>
        <w:pStyle w:val="5"/>
        <w:wordWrap w:val="0"/>
        <w:topLinePunct/>
        <w:adjustRightInd w:val="0"/>
        <w:snapToGrid w:val="0"/>
        <w:spacing w:before="0" w:after="0" w:line="360" w:lineRule="auto"/>
        <w:ind w:firstLine="422" w:firstLineChars="200"/>
        <w:jc w:val="left"/>
        <w:rPr>
          <w:rFonts w:ascii="仿宋" w:hAnsi="仿宋" w:eastAsia="仿宋" w:cs="仿宋"/>
          <w:b w:val="0"/>
          <w:sz w:val="21"/>
          <w:szCs w:val="21"/>
          <w:highlight w:val="none"/>
        </w:rPr>
      </w:pPr>
      <w:r>
        <w:rPr>
          <w:rFonts w:hint="eastAsia" w:ascii="仿宋" w:hAnsi="仿宋" w:eastAsia="仿宋" w:cs="仿宋"/>
          <w:sz w:val="21"/>
          <w:szCs w:val="21"/>
          <w:highlight w:val="none"/>
        </w:rPr>
        <w:t>31、中标通知书</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31.l中标结果确定后，代理机构将向中标人发出中标通知书。</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31.2中标人收到中标通知书后，应签字确认中标通知书已收到。若无回复，则公告后视同中标人已经知悉并同意接受。</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31.3中标通知书将是合同的一个组成部分。对采购人和中标人均具有法律效力。中标通知书发出后，采购人改变中标结果的，或者中标人放弃中标项目的，应当依法承担法律责任。</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31.4所有投标文件都将作为档案保存，不论中标与否，代理机构均不退回。</w:t>
      </w:r>
    </w:p>
    <w:p>
      <w:pPr>
        <w:pStyle w:val="5"/>
        <w:wordWrap w:val="0"/>
        <w:topLinePunct/>
        <w:adjustRightInd w:val="0"/>
        <w:snapToGrid w:val="0"/>
        <w:spacing w:before="0" w:after="0" w:line="360" w:lineRule="auto"/>
        <w:ind w:firstLine="422" w:firstLineChars="200"/>
        <w:jc w:val="left"/>
        <w:rPr>
          <w:rFonts w:ascii="仿宋" w:hAnsi="仿宋" w:eastAsia="仿宋" w:cs="仿宋"/>
          <w:sz w:val="21"/>
          <w:szCs w:val="21"/>
          <w:highlight w:val="none"/>
        </w:rPr>
      </w:pPr>
      <w:bookmarkStart w:id="119" w:name="_Toc20823309"/>
      <w:bookmarkStart w:id="120" w:name="_Toc513029237"/>
      <w:bookmarkStart w:id="121" w:name="_Toc16938553"/>
      <w:r>
        <w:rPr>
          <w:rFonts w:hint="eastAsia" w:ascii="仿宋" w:hAnsi="仿宋" w:eastAsia="仿宋" w:cs="仿宋"/>
          <w:sz w:val="21"/>
          <w:szCs w:val="21"/>
          <w:highlight w:val="none"/>
        </w:rPr>
        <w:t>32、签订合同</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bCs/>
          <w:kern w:val="0"/>
          <w:szCs w:val="21"/>
          <w:highlight w:val="none"/>
        </w:rPr>
        <w:t>32</w:t>
      </w:r>
      <w:r>
        <w:rPr>
          <w:rFonts w:hint="eastAsia" w:ascii="仿宋" w:hAnsi="仿宋" w:eastAsia="仿宋" w:cs="仿宋"/>
          <w:kern w:val="0"/>
          <w:szCs w:val="21"/>
          <w:highlight w:val="none"/>
        </w:rPr>
        <w:t>.l中标人应按中标通知书规定的时间、地点，按照招标文件确定的事项与采购人签订采购合同，且不得迟于中标通知书发出之日起三十日，由此给采购人造成损失的，中标人还应承担赔偿责任。</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32.2招标文件、中标人的投标文件及招标过程中有关澄清、承诺文件均应作为合同附件。</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32.3签订合同后，</w:t>
      </w:r>
      <w:r>
        <w:rPr>
          <w:rFonts w:hint="eastAsia" w:ascii="仿宋" w:hAnsi="仿宋" w:eastAsia="仿宋" w:cs="仿宋"/>
          <w:i/>
          <w:kern w:val="0"/>
          <w:szCs w:val="21"/>
          <w:highlight w:val="none"/>
          <w:u w:val="single"/>
        </w:rPr>
        <w:t>中标供应商不得将货物及其他相关服务进行转包</w:t>
      </w:r>
      <w:r>
        <w:rPr>
          <w:rFonts w:hint="eastAsia" w:ascii="仿宋" w:hAnsi="仿宋" w:eastAsia="仿宋" w:cs="仿宋"/>
          <w:kern w:val="0"/>
          <w:szCs w:val="21"/>
          <w:highlight w:val="none"/>
        </w:rPr>
        <w:t>。未经采购人同意，中标人也不得采用分包的形式履行合同，否则采购人有权终止合同，中标人的履约保证金将不予退还。转包或分包造成采购人损失或致使合同履行中发生违约现象的，中标人应承担赔偿责任。</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32.4采购人不得向中标人提出任何不合理的要求作为签订合同的条件，不得与中标人私下订立背离合同实质性内容的协议。所签订的合同不得对招标文件确定事项和中标人投标文件作实质性修改。</w:t>
      </w:r>
    </w:p>
    <w:p>
      <w:pPr>
        <w:pStyle w:val="5"/>
        <w:wordWrap w:val="0"/>
        <w:topLinePunct/>
        <w:adjustRightInd w:val="0"/>
        <w:snapToGrid w:val="0"/>
        <w:spacing w:before="0" w:after="0" w:line="360" w:lineRule="auto"/>
        <w:ind w:firstLine="422" w:firstLineChars="200"/>
        <w:jc w:val="left"/>
        <w:rPr>
          <w:rFonts w:ascii="仿宋" w:hAnsi="仿宋" w:eastAsia="仿宋" w:cs="仿宋"/>
          <w:b w:val="0"/>
          <w:sz w:val="21"/>
          <w:szCs w:val="21"/>
          <w:highlight w:val="none"/>
        </w:rPr>
      </w:pPr>
      <w:r>
        <w:rPr>
          <w:rFonts w:hint="eastAsia" w:ascii="仿宋" w:hAnsi="仿宋" w:eastAsia="仿宋" w:cs="仿宋"/>
          <w:sz w:val="21"/>
          <w:szCs w:val="21"/>
          <w:highlight w:val="none"/>
        </w:rPr>
        <w:t>33、货物和服务的追加、减少和添购</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33.1采购合同履行中，采购人需追加与合同标的相同的货物和服务的，在不改变合同其他条款的前提下，可以与中标供应商协商签订补充合同，但所有补充合同的采购金额不超过原合同金额10%。</w:t>
      </w:r>
    </w:p>
    <w:p>
      <w:pPr>
        <w:wordWrap w:val="0"/>
        <w:topLinePunct/>
        <w:adjustRightInd w:val="0"/>
        <w:snapToGrid w:val="0"/>
        <w:spacing w:line="360" w:lineRule="auto"/>
        <w:ind w:firstLine="420" w:firstLineChars="200"/>
        <w:jc w:val="left"/>
        <w:rPr>
          <w:rFonts w:ascii="仿宋" w:hAnsi="仿宋" w:eastAsia="仿宋" w:cs="仿宋"/>
          <w:b/>
          <w:kern w:val="0"/>
          <w:szCs w:val="21"/>
          <w:highlight w:val="none"/>
        </w:rPr>
      </w:pPr>
      <w:r>
        <w:rPr>
          <w:rFonts w:hint="eastAsia" w:ascii="仿宋" w:hAnsi="仿宋" w:eastAsia="仿宋" w:cs="仿宋"/>
          <w:kern w:val="0"/>
          <w:szCs w:val="21"/>
          <w:highlight w:val="none"/>
        </w:rPr>
        <w:t>33.2采购结束后，采购人若由于各种客观原因，必须对采购项目所牵涉的货物和服务进行适当的减少时，在双方协商一致的前提下，可以按照招标采购时的价格水平做相应的调减，并据此签订补充合同。</w:t>
      </w:r>
    </w:p>
    <w:p>
      <w:pPr>
        <w:pStyle w:val="5"/>
        <w:wordWrap w:val="0"/>
        <w:topLinePunct/>
        <w:adjustRightInd w:val="0"/>
        <w:snapToGrid w:val="0"/>
        <w:spacing w:before="0" w:after="0" w:line="360" w:lineRule="auto"/>
        <w:ind w:firstLine="422" w:firstLineChars="200"/>
        <w:jc w:val="left"/>
        <w:rPr>
          <w:rFonts w:ascii="仿宋" w:hAnsi="仿宋" w:eastAsia="仿宋" w:cs="仿宋"/>
          <w:b w:val="0"/>
          <w:sz w:val="21"/>
          <w:szCs w:val="21"/>
          <w:highlight w:val="none"/>
        </w:rPr>
      </w:pPr>
      <w:r>
        <w:rPr>
          <w:rFonts w:hint="eastAsia" w:ascii="仿宋" w:hAnsi="仿宋" w:eastAsia="仿宋" w:cs="仿宋"/>
          <w:sz w:val="21"/>
          <w:szCs w:val="21"/>
          <w:highlight w:val="none"/>
        </w:rPr>
        <w:t>34、履约保证金</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bookmarkStart w:id="122" w:name="_Toc200451963"/>
      <w:r>
        <w:rPr>
          <w:rFonts w:hint="eastAsia" w:ascii="仿宋" w:hAnsi="仿宋" w:eastAsia="仿宋" w:cs="仿宋"/>
          <w:kern w:val="0"/>
          <w:szCs w:val="21"/>
          <w:highlight w:val="none"/>
        </w:rPr>
        <w:t>无履约保证金。</w:t>
      </w:r>
    </w:p>
    <w:bookmarkEnd w:id="119"/>
    <w:bookmarkEnd w:id="120"/>
    <w:bookmarkEnd w:id="121"/>
    <w:bookmarkEnd w:id="122"/>
    <w:p>
      <w:pPr>
        <w:pStyle w:val="22"/>
        <w:wordWrap w:val="0"/>
        <w:topLinePunct/>
        <w:adjustRightInd w:val="0"/>
        <w:snapToGrid w:val="0"/>
        <w:spacing w:before="0" w:beforeAutospacing="0" w:after="0" w:afterAutospacing="0" w:line="360" w:lineRule="auto"/>
        <w:ind w:firstLine="422" w:firstLineChars="200"/>
        <w:rPr>
          <w:rFonts w:ascii="仿宋" w:hAnsi="仿宋" w:eastAsia="仿宋" w:cs="仿宋"/>
          <w:highlight w:val="none"/>
        </w:rPr>
      </w:pPr>
      <w:r>
        <w:rPr>
          <w:rStyle w:val="29"/>
          <w:rFonts w:hint="eastAsia" w:ascii="仿宋" w:hAnsi="仿宋" w:eastAsia="仿宋" w:cs="仿宋"/>
          <w:sz w:val="21"/>
          <w:szCs w:val="21"/>
          <w:highlight w:val="none"/>
          <w:shd w:val="clear" w:color="auto" w:fill="FFFFFF"/>
        </w:rPr>
        <w:t>35、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应当优先采购节能产品、环境标志产品。</w:t>
      </w:r>
    </w:p>
    <w:p>
      <w:pPr>
        <w:wordWrap w:val="0"/>
        <w:topLinePunct/>
        <w:rPr>
          <w:rFonts w:ascii="仿宋" w:hAnsi="仿宋" w:eastAsia="仿宋" w:cs="仿宋"/>
          <w:kern w:val="0"/>
          <w:sz w:val="36"/>
          <w:highlight w:val="none"/>
        </w:rPr>
      </w:pPr>
      <w:bookmarkStart w:id="123" w:name="_Toc498003955"/>
      <w:r>
        <w:rPr>
          <w:rFonts w:hint="eastAsia" w:ascii="仿宋" w:hAnsi="仿宋" w:eastAsia="仿宋" w:cs="仿宋"/>
          <w:kern w:val="0"/>
          <w:sz w:val="36"/>
          <w:highlight w:val="none"/>
        </w:rPr>
        <w:br w:type="page"/>
      </w:r>
    </w:p>
    <w:p>
      <w:pPr>
        <w:pStyle w:val="2"/>
        <w:keepNext w:val="0"/>
        <w:keepLines w:val="0"/>
        <w:wordWrap w:val="0"/>
        <w:topLinePunct/>
        <w:jc w:val="center"/>
        <w:rPr>
          <w:rFonts w:ascii="仿宋" w:hAnsi="仿宋" w:eastAsia="仿宋" w:cs="仿宋"/>
          <w:kern w:val="0"/>
          <w:sz w:val="36"/>
          <w:highlight w:val="none"/>
        </w:rPr>
      </w:pPr>
      <w:r>
        <w:rPr>
          <w:rFonts w:hint="eastAsia" w:ascii="仿宋" w:hAnsi="仿宋" w:eastAsia="仿宋" w:cs="仿宋"/>
          <w:kern w:val="0"/>
          <w:sz w:val="36"/>
          <w:highlight w:val="none"/>
        </w:rPr>
        <w:t>第三章 合同条款及格式</w:t>
      </w:r>
      <w:bookmarkEnd w:id="123"/>
    </w:p>
    <w:p>
      <w:pPr>
        <w:pStyle w:val="11"/>
        <w:wordWrap w:val="0"/>
        <w:topLinePunct/>
        <w:adjustRightInd w:val="0"/>
        <w:snapToGrid w:val="0"/>
        <w:spacing w:line="360" w:lineRule="auto"/>
        <w:ind w:firstLine="420" w:firstLineChars="200"/>
        <w:jc w:val="left"/>
        <w:rPr>
          <w:rFonts w:ascii="仿宋" w:hAnsi="仿宋" w:eastAsia="仿宋" w:cs="仿宋"/>
          <w:sz w:val="21"/>
          <w:highlight w:val="none"/>
        </w:rPr>
      </w:pPr>
      <w:bookmarkStart w:id="124" w:name="_Hlt16619369"/>
      <w:bookmarkEnd w:id="124"/>
      <w:r>
        <w:rPr>
          <w:rFonts w:hint="eastAsia" w:ascii="仿宋" w:hAnsi="仿宋" w:eastAsia="仿宋" w:cs="仿宋"/>
          <w:sz w:val="21"/>
          <w:highlight w:val="none"/>
        </w:rPr>
        <w:t>以下为中标后签订本项目合同的通用条款，中标人不得提出实质性的修改。关于专用条款将由采购人与中标人结合本项目具体情况协商后补充，但补充内容对招标文件和投标文件以及通用条款，不得作实质性修改。</w:t>
      </w:r>
    </w:p>
    <w:p>
      <w:pPr>
        <w:pStyle w:val="11"/>
        <w:wordWrap w:val="0"/>
        <w:topLinePunct/>
        <w:adjustRightInd w:val="0"/>
        <w:snapToGrid w:val="0"/>
        <w:spacing w:line="360" w:lineRule="auto"/>
        <w:ind w:firstLine="400" w:firstLineChars="200"/>
        <w:jc w:val="left"/>
        <w:rPr>
          <w:rFonts w:ascii="仿宋" w:hAnsi="仿宋" w:eastAsia="仿宋" w:cs="仿宋"/>
          <w:highlight w:val="none"/>
        </w:rPr>
      </w:pPr>
    </w:p>
    <w:p>
      <w:pPr>
        <w:pStyle w:val="11"/>
        <w:wordWrap w:val="0"/>
        <w:topLinePunct/>
        <w:adjustRightInd w:val="0"/>
        <w:snapToGrid w:val="0"/>
        <w:spacing w:line="360" w:lineRule="auto"/>
        <w:ind w:firstLine="420" w:firstLineChars="200"/>
        <w:jc w:val="left"/>
        <w:rPr>
          <w:rFonts w:hint="eastAsia" w:ascii="仿宋" w:hAnsi="仿宋" w:eastAsia="仿宋" w:cs="仿宋"/>
          <w:sz w:val="21"/>
          <w:highlight w:val="none"/>
          <w:lang w:eastAsia="zh-CN"/>
        </w:rPr>
      </w:pPr>
      <w:r>
        <w:rPr>
          <w:rFonts w:hint="eastAsia" w:ascii="仿宋" w:hAnsi="仿宋" w:eastAsia="仿宋" w:cs="仿宋"/>
          <w:sz w:val="21"/>
          <w:highlight w:val="none"/>
        </w:rPr>
        <w:t>项目名称：</w:t>
      </w:r>
      <w:r>
        <w:rPr>
          <w:rFonts w:hint="eastAsia" w:ascii="仿宋" w:hAnsi="仿宋" w:eastAsia="仿宋" w:cs="仿宋"/>
          <w:sz w:val="21"/>
          <w:highlight w:val="none"/>
          <w:lang w:eastAsia="zh-CN"/>
        </w:rPr>
        <w:t>2024-2025年建盛公司燃气表具采购项目</w:t>
      </w:r>
    </w:p>
    <w:p>
      <w:pPr>
        <w:pStyle w:val="11"/>
        <w:wordWrap w:val="0"/>
        <w:topLinePunct/>
        <w:adjustRightInd w:val="0"/>
        <w:snapToGrid w:val="0"/>
        <w:spacing w:line="360" w:lineRule="auto"/>
        <w:ind w:firstLine="420" w:firstLineChars="200"/>
        <w:jc w:val="left"/>
        <w:rPr>
          <w:rFonts w:ascii="仿宋" w:hAnsi="仿宋" w:eastAsia="仿宋" w:cs="仿宋"/>
          <w:sz w:val="21"/>
          <w:highlight w:val="none"/>
        </w:rPr>
      </w:pPr>
      <w:r>
        <w:rPr>
          <w:rFonts w:hint="eastAsia" w:ascii="仿宋" w:hAnsi="仿宋" w:eastAsia="仿宋" w:cs="仿宋"/>
          <w:sz w:val="21"/>
          <w:highlight w:val="none"/>
        </w:rPr>
        <w:t>编号：JSDC-G-20240612001号</w:t>
      </w:r>
    </w:p>
    <w:p>
      <w:pPr>
        <w:pStyle w:val="11"/>
        <w:wordWrap w:val="0"/>
        <w:topLinePunct/>
        <w:adjustRightInd w:val="0"/>
        <w:snapToGrid w:val="0"/>
        <w:spacing w:line="360" w:lineRule="auto"/>
        <w:ind w:firstLine="420" w:firstLineChars="200"/>
        <w:jc w:val="left"/>
        <w:rPr>
          <w:rFonts w:ascii="仿宋" w:hAnsi="仿宋" w:eastAsia="仿宋" w:cs="仿宋"/>
          <w:sz w:val="21"/>
          <w:highlight w:val="none"/>
        </w:rPr>
      </w:pPr>
      <w:r>
        <w:rPr>
          <w:rFonts w:hint="eastAsia" w:ascii="仿宋" w:hAnsi="仿宋" w:eastAsia="仿宋" w:cs="仿宋"/>
          <w:sz w:val="21"/>
          <w:highlight w:val="none"/>
        </w:rPr>
        <w:t>甲方（采购人）：扬州市建盛公用事业发展有限公司</w:t>
      </w:r>
    </w:p>
    <w:p>
      <w:pPr>
        <w:pStyle w:val="11"/>
        <w:wordWrap w:val="0"/>
        <w:topLinePunct/>
        <w:adjustRightInd w:val="0"/>
        <w:snapToGrid w:val="0"/>
        <w:spacing w:line="360" w:lineRule="auto"/>
        <w:ind w:firstLine="420" w:firstLineChars="200"/>
        <w:jc w:val="left"/>
        <w:rPr>
          <w:rFonts w:ascii="仿宋" w:hAnsi="仿宋" w:eastAsia="仿宋" w:cs="仿宋"/>
          <w:sz w:val="21"/>
          <w:highlight w:val="none"/>
        </w:rPr>
      </w:pPr>
      <w:r>
        <w:rPr>
          <w:rFonts w:hint="eastAsia" w:ascii="仿宋" w:hAnsi="仿宋" w:eastAsia="仿宋" w:cs="仿宋"/>
          <w:sz w:val="21"/>
          <w:highlight w:val="none"/>
        </w:rPr>
        <w:t>乙方（供应商）：</w:t>
      </w:r>
    </w:p>
    <w:p>
      <w:pPr>
        <w:pStyle w:val="11"/>
        <w:wordWrap w:val="0"/>
        <w:topLinePunct/>
        <w:adjustRightInd w:val="0"/>
        <w:snapToGrid w:val="0"/>
        <w:spacing w:line="360" w:lineRule="auto"/>
        <w:ind w:firstLine="420" w:firstLineChars="200"/>
        <w:jc w:val="left"/>
        <w:rPr>
          <w:rFonts w:ascii="仿宋" w:hAnsi="仿宋" w:eastAsia="仿宋" w:cs="仿宋"/>
          <w:sz w:val="21"/>
          <w:highlight w:val="none"/>
        </w:rPr>
      </w:pPr>
      <w:r>
        <w:rPr>
          <w:rFonts w:hint="eastAsia" w:ascii="仿宋" w:hAnsi="仿宋" w:eastAsia="仿宋" w:cs="仿宋"/>
          <w:sz w:val="21"/>
          <w:highlight w:val="none"/>
        </w:rPr>
        <w:t>见证方：江苏省鼎诚建设工程顾问有限公司</w:t>
      </w:r>
    </w:p>
    <w:p>
      <w:pPr>
        <w:pStyle w:val="11"/>
        <w:wordWrap w:val="0"/>
        <w:topLinePunct/>
        <w:adjustRightInd w:val="0"/>
        <w:snapToGrid w:val="0"/>
        <w:spacing w:line="360" w:lineRule="auto"/>
        <w:ind w:firstLine="420" w:firstLineChars="200"/>
        <w:jc w:val="left"/>
        <w:rPr>
          <w:rFonts w:ascii="仿宋" w:hAnsi="仿宋" w:eastAsia="仿宋" w:cs="仿宋"/>
          <w:sz w:val="21"/>
          <w:highlight w:val="none"/>
        </w:rPr>
      </w:pPr>
      <w:r>
        <w:rPr>
          <w:rFonts w:hint="eastAsia" w:ascii="仿宋" w:hAnsi="仿宋" w:eastAsia="仿宋" w:cs="仿宋"/>
          <w:sz w:val="21"/>
          <w:highlight w:val="none"/>
        </w:rPr>
        <w:t>根据《中华人民共和国政府采购法》、《中华人民共和国民法典》等法律法规的规定，甲乙双方按照</w:t>
      </w:r>
      <w:r>
        <w:rPr>
          <w:rFonts w:hint="eastAsia" w:ascii="仿宋" w:hAnsi="仿宋" w:eastAsia="仿宋" w:cs="仿宋"/>
          <w:sz w:val="21"/>
          <w:highlight w:val="none"/>
          <w:u w:val="single"/>
        </w:rPr>
        <w:t>江苏省鼎诚建设工程顾问有限公司</w:t>
      </w:r>
      <w:r>
        <w:rPr>
          <w:rFonts w:hint="eastAsia" w:ascii="仿宋" w:hAnsi="仿宋" w:eastAsia="仿宋" w:cs="仿宋"/>
          <w:sz w:val="21"/>
          <w:highlight w:val="none"/>
        </w:rPr>
        <w:t>关于本项目招标结果签订本合同。</w:t>
      </w:r>
    </w:p>
    <w:p>
      <w:pPr>
        <w:wordWrap w:val="0"/>
        <w:topLinePunct/>
        <w:adjustRightInd w:val="0"/>
        <w:snapToGrid w:val="0"/>
        <w:spacing w:line="360" w:lineRule="auto"/>
        <w:ind w:firstLine="422" w:firstLineChars="200"/>
        <w:jc w:val="left"/>
        <w:rPr>
          <w:rFonts w:ascii="仿宋" w:hAnsi="仿宋" w:eastAsia="仿宋" w:cs="仿宋"/>
          <w:b/>
          <w:bCs/>
          <w:kern w:val="0"/>
          <w:szCs w:val="21"/>
          <w:highlight w:val="none"/>
        </w:rPr>
      </w:pPr>
      <w:r>
        <w:rPr>
          <w:rFonts w:hint="eastAsia" w:ascii="仿宋" w:hAnsi="仿宋" w:eastAsia="仿宋" w:cs="仿宋"/>
          <w:b/>
          <w:bCs/>
          <w:kern w:val="0"/>
          <w:szCs w:val="21"/>
          <w:highlight w:val="none"/>
        </w:rPr>
        <w:t>1、合同标的</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乙方根据甲方需求，提供下列服务：</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w:t>
      </w:r>
    </w:p>
    <w:p>
      <w:pPr>
        <w:wordWrap w:val="0"/>
        <w:topLinePunct/>
        <w:adjustRightInd w:val="0"/>
        <w:snapToGrid w:val="0"/>
        <w:spacing w:line="360" w:lineRule="auto"/>
        <w:ind w:firstLine="420" w:firstLineChars="200"/>
        <w:jc w:val="left"/>
        <w:rPr>
          <w:rFonts w:ascii="仿宋" w:hAnsi="仿宋" w:eastAsia="仿宋" w:cs="仿宋"/>
          <w:b/>
          <w:kern w:val="0"/>
          <w:szCs w:val="21"/>
          <w:highlight w:val="none"/>
        </w:rPr>
      </w:pPr>
      <w:r>
        <w:rPr>
          <w:rFonts w:hint="eastAsia" w:ascii="仿宋" w:hAnsi="仿宋" w:eastAsia="仿宋" w:cs="仿宋"/>
          <w:kern w:val="0"/>
          <w:szCs w:val="21"/>
          <w:highlight w:val="none"/>
        </w:rPr>
        <w:t>服务内容等要求详见招投标文件。</w:t>
      </w:r>
    </w:p>
    <w:p>
      <w:pPr>
        <w:wordWrap w:val="0"/>
        <w:topLinePunct/>
        <w:adjustRightInd w:val="0"/>
        <w:snapToGrid w:val="0"/>
        <w:spacing w:line="360" w:lineRule="auto"/>
        <w:ind w:firstLine="422" w:firstLineChars="200"/>
        <w:jc w:val="left"/>
        <w:rPr>
          <w:rFonts w:ascii="仿宋" w:hAnsi="仿宋" w:eastAsia="仿宋" w:cs="仿宋"/>
          <w:b/>
          <w:bCs/>
          <w:kern w:val="0"/>
          <w:szCs w:val="21"/>
          <w:highlight w:val="none"/>
        </w:rPr>
      </w:pPr>
      <w:r>
        <w:rPr>
          <w:rFonts w:hint="eastAsia" w:ascii="仿宋" w:hAnsi="仿宋" w:eastAsia="仿宋" w:cs="仿宋"/>
          <w:b/>
          <w:bCs/>
          <w:kern w:val="0"/>
          <w:szCs w:val="21"/>
          <w:highlight w:val="none"/>
        </w:rPr>
        <w:t>2、合同总金额</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2.1 本合同金额为（大写）：</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元人民币（¥</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元）。</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2.2 本合同总金额包括乙方提供的服务及其他有关的为完成本项目发生的所有费用，招标文件中另有规定的除外。</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2.3 在招标文件未列明，而乙方认为履行本合同必需的费用也包含在合同总金额中。</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2.4 本合同总金额还包含乙方提供的伴随服务/售后服务费用。</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2.5 本合同签订后：甲方需追加与合同标的相同的服务，在不改变合同其他条款的前提下，可以与乙方协商签订补充合同，但所有补充合同的增加的金额不超过原合同金额的10%；甲方若由于各种客观原因，必须对采购项目所牵涉的服务进行适当的减少时，在与乙方协商一致后，可以按照招标采购时的价格水平做相应的调减，并据此签订补充合同；除上述情况外，本合同执行期间合同总金额不变。</w:t>
      </w:r>
    </w:p>
    <w:p>
      <w:pPr>
        <w:wordWrap w:val="0"/>
        <w:topLinePunct/>
        <w:adjustRightInd w:val="0"/>
        <w:snapToGrid w:val="0"/>
        <w:spacing w:line="360" w:lineRule="auto"/>
        <w:ind w:firstLine="422" w:firstLineChars="200"/>
        <w:jc w:val="left"/>
        <w:rPr>
          <w:rFonts w:ascii="仿宋" w:hAnsi="仿宋" w:eastAsia="仿宋" w:cs="仿宋"/>
          <w:b/>
          <w:bCs/>
          <w:kern w:val="0"/>
          <w:szCs w:val="21"/>
          <w:highlight w:val="none"/>
        </w:rPr>
      </w:pPr>
      <w:r>
        <w:rPr>
          <w:rFonts w:hint="eastAsia" w:ascii="仿宋" w:hAnsi="仿宋" w:eastAsia="仿宋" w:cs="仿宋"/>
          <w:b/>
          <w:bCs/>
          <w:kern w:val="0"/>
          <w:szCs w:val="21"/>
          <w:highlight w:val="none"/>
        </w:rPr>
        <w:t>3、组成本合同的有关文件</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3.1乙方应按招标文件规定的时间向甲方提供服务的有关技术资料。</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3.2 没有甲方事先书面同意，乙方不得将由甲方提供的有关合同或任何合同条文或资料提供给任何其他人。即使向履行本合同有关的人员提供，也应注意保密并限于履行合同的必需范围。</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3.3 关于本项目政府采购的招投标文件或与本次采购活动方式相适应的文件及有关附件是本合同不可分割的组成部分，这些文件包括但不限于：</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（1）投标响应文件；               （2）投标报价文件；</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（3）项目组人员表                 （4）技术参数、商务条款响应及偏离表；</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（5）服务承诺（如有）；           （6）中标通知书；</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（7）甲乙双方补充协议；           （8）乙方投标时提供的投标文件。</w:t>
      </w:r>
    </w:p>
    <w:p>
      <w:pPr>
        <w:wordWrap w:val="0"/>
        <w:topLinePunct/>
        <w:adjustRightInd w:val="0"/>
        <w:snapToGrid w:val="0"/>
        <w:spacing w:line="360" w:lineRule="auto"/>
        <w:ind w:firstLine="422" w:firstLineChars="200"/>
        <w:jc w:val="left"/>
        <w:rPr>
          <w:rFonts w:ascii="仿宋" w:hAnsi="仿宋" w:eastAsia="仿宋" w:cs="仿宋"/>
          <w:b/>
          <w:bCs/>
          <w:kern w:val="0"/>
          <w:szCs w:val="21"/>
          <w:highlight w:val="none"/>
        </w:rPr>
      </w:pPr>
      <w:r>
        <w:rPr>
          <w:rFonts w:hint="eastAsia" w:ascii="仿宋" w:hAnsi="仿宋" w:eastAsia="仿宋" w:cs="仿宋"/>
          <w:b/>
          <w:bCs/>
          <w:kern w:val="0"/>
          <w:szCs w:val="21"/>
          <w:highlight w:val="none"/>
        </w:rPr>
        <w:t>4、知识产权保证</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乙方保证甲方在使用、接受本合同服务或其任何一部分时，不受第三方提出侵犯其专利权、版权、商标权和工业设计权等知识产权的起诉。一旦出现侵权，由乙方负全部责任。</w:t>
      </w:r>
    </w:p>
    <w:p>
      <w:pPr>
        <w:wordWrap w:val="0"/>
        <w:topLinePunct/>
        <w:adjustRightInd w:val="0"/>
        <w:snapToGrid w:val="0"/>
        <w:spacing w:line="360" w:lineRule="auto"/>
        <w:ind w:firstLine="422" w:firstLineChars="200"/>
        <w:jc w:val="left"/>
        <w:rPr>
          <w:rFonts w:ascii="仿宋" w:hAnsi="仿宋" w:eastAsia="仿宋" w:cs="仿宋"/>
          <w:b/>
          <w:bCs/>
          <w:kern w:val="0"/>
          <w:szCs w:val="21"/>
          <w:highlight w:val="none"/>
        </w:rPr>
      </w:pPr>
      <w:r>
        <w:rPr>
          <w:rFonts w:hint="eastAsia" w:ascii="仿宋" w:hAnsi="仿宋" w:eastAsia="仿宋" w:cs="仿宋"/>
          <w:b/>
          <w:bCs/>
          <w:kern w:val="0"/>
          <w:szCs w:val="21"/>
          <w:highlight w:val="none"/>
        </w:rPr>
        <w:t>5、产权保证</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乙方保证所交付的服务和服务所涉及的物品所有权无任何抵押、查封等权利瑕疵。</w:t>
      </w:r>
    </w:p>
    <w:p>
      <w:pPr>
        <w:wordWrap w:val="0"/>
        <w:topLinePunct/>
        <w:adjustRightInd w:val="0"/>
        <w:snapToGrid w:val="0"/>
        <w:spacing w:line="360" w:lineRule="auto"/>
        <w:ind w:firstLine="422" w:firstLineChars="200"/>
        <w:jc w:val="left"/>
        <w:rPr>
          <w:rFonts w:ascii="仿宋" w:hAnsi="仿宋" w:eastAsia="仿宋" w:cs="仿宋"/>
          <w:b/>
          <w:bCs/>
          <w:kern w:val="0"/>
          <w:szCs w:val="21"/>
          <w:highlight w:val="none"/>
        </w:rPr>
      </w:pPr>
      <w:r>
        <w:rPr>
          <w:rFonts w:hint="eastAsia" w:ascii="仿宋" w:hAnsi="仿宋" w:eastAsia="仿宋" w:cs="仿宋"/>
          <w:b/>
          <w:bCs/>
          <w:kern w:val="0"/>
          <w:szCs w:val="21"/>
          <w:highlight w:val="none"/>
        </w:rPr>
        <w:t>6、履约保证金</w:t>
      </w:r>
    </w:p>
    <w:p>
      <w:pPr>
        <w:wordWrap w:val="0"/>
        <w:topLinePunct/>
        <w:adjustRightInd w:val="0"/>
        <w:snapToGrid w:val="0"/>
        <w:spacing w:line="360" w:lineRule="auto"/>
        <w:ind w:firstLine="420" w:firstLineChars="200"/>
        <w:jc w:val="left"/>
        <w:rPr>
          <w:rFonts w:ascii="仿宋" w:hAnsi="仿宋" w:eastAsia="仿宋" w:cs="仿宋"/>
          <w:kern w:val="0"/>
          <w:highlight w:val="none"/>
        </w:rPr>
      </w:pPr>
      <w:r>
        <w:rPr>
          <w:rFonts w:hint="eastAsia" w:ascii="仿宋" w:hAnsi="仿宋" w:eastAsia="仿宋" w:cs="仿宋"/>
          <w:kern w:val="0"/>
          <w:highlight w:val="none"/>
        </w:rPr>
        <w:t>无履约保证金。</w:t>
      </w:r>
    </w:p>
    <w:p>
      <w:pPr>
        <w:wordWrap w:val="0"/>
        <w:topLinePunct/>
        <w:adjustRightInd w:val="0"/>
        <w:snapToGrid w:val="0"/>
        <w:spacing w:line="360" w:lineRule="auto"/>
        <w:ind w:firstLine="422" w:firstLineChars="200"/>
        <w:jc w:val="left"/>
        <w:rPr>
          <w:rFonts w:ascii="仿宋" w:hAnsi="仿宋" w:eastAsia="仿宋" w:cs="仿宋"/>
          <w:b/>
          <w:bCs/>
          <w:kern w:val="0"/>
          <w:szCs w:val="21"/>
          <w:highlight w:val="none"/>
        </w:rPr>
      </w:pPr>
      <w:r>
        <w:rPr>
          <w:rFonts w:hint="eastAsia" w:ascii="仿宋" w:hAnsi="仿宋" w:eastAsia="仿宋" w:cs="仿宋"/>
          <w:b/>
          <w:bCs/>
          <w:kern w:val="0"/>
          <w:szCs w:val="21"/>
          <w:highlight w:val="none"/>
        </w:rPr>
        <w:t>7、转包或分包</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7.1 本合同禁止转包，本合同范围的服务，应由乙方直接提供的，不得转让他人提供。</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7.2 经甲方同意，乙方可以依法采取分包方式履行合同，但是分包方式履行的，乙方应就采购项目向甲方负全责。</w:t>
      </w:r>
    </w:p>
    <w:p>
      <w:pPr>
        <w:wordWrap w:val="0"/>
        <w:topLinePunct/>
        <w:adjustRightInd w:val="0"/>
        <w:snapToGrid w:val="0"/>
        <w:spacing w:line="360" w:lineRule="auto"/>
        <w:ind w:firstLine="422" w:firstLineChars="200"/>
        <w:jc w:val="left"/>
        <w:rPr>
          <w:rFonts w:ascii="仿宋" w:hAnsi="仿宋" w:eastAsia="仿宋" w:cs="仿宋"/>
          <w:b/>
          <w:bCs/>
          <w:kern w:val="0"/>
          <w:szCs w:val="21"/>
          <w:highlight w:val="none"/>
        </w:rPr>
      </w:pPr>
      <w:r>
        <w:rPr>
          <w:rFonts w:hint="eastAsia" w:ascii="仿宋" w:hAnsi="仿宋" w:eastAsia="仿宋" w:cs="仿宋"/>
          <w:b/>
          <w:bCs/>
          <w:kern w:val="0"/>
          <w:szCs w:val="21"/>
          <w:highlight w:val="none"/>
        </w:rPr>
        <w:t>8、服务期限</w:t>
      </w:r>
    </w:p>
    <w:p>
      <w:pPr>
        <w:pStyle w:val="11"/>
        <w:wordWrap w:val="0"/>
        <w:topLinePunct/>
        <w:adjustRightInd w:val="0"/>
        <w:snapToGrid w:val="0"/>
        <w:spacing w:line="360" w:lineRule="auto"/>
        <w:ind w:firstLine="420" w:firstLineChars="200"/>
        <w:jc w:val="left"/>
        <w:rPr>
          <w:rFonts w:ascii="仿宋" w:hAnsi="仿宋" w:eastAsia="仿宋" w:cs="仿宋"/>
          <w:highlight w:val="none"/>
        </w:rPr>
      </w:pPr>
      <w:r>
        <w:rPr>
          <w:rFonts w:hint="eastAsia" w:ascii="仿宋" w:hAnsi="仿宋" w:eastAsia="仿宋" w:cs="仿宋"/>
          <w:bCs/>
          <w:sz w:val="21"/>
          <w:highlight w:val="none"/>
        </w:rPr>
        <w:t>8.1 服务期限：</w:t>
      </w:r>
      <w:r>
        <w:rPr>
          <w:rFonts w:hint="eastAsia" w:ascii="仿宋" w:hAnsi="仿宋" w:eastAsia="仿宋" w:cs="仿宋"/>
          <w:highlight w:val="none"/>
          <w:u w:val="single"/>
        </w:rPr>
        <w:t>合同签订之日起10日历天内</w:t>
      </w:r>
    </w:p>
    <w:p>
      <w:pPr>
        <w:pStyle w:val="11"/>
        <w:wordWrap w:val="0"/>
        <w:topLinePunct/>
        <w:adjustRightInd w:val="0"/>
        <w:snapToGrid w:val="0"/>
        <w:spacing w:line="360" w:lineRule="auto"/>
        <w:ind w:firstLine="422" w:firstLineChars="200"/>
        <w:jc w:val="left"/>
        <w:rPr>
          <w:rFonts w:ascii="仿宋" w:hAnsi="仿宋" w:eastAsia="仿宋" w:cs="仿宋"/>
          <w:b/>
          <w:bCs/>
          <w:sz w:val="21"/>
          <w:highlight w:val="none"/>
        </w:rPr>
      </w:pPr>
      <w:r>
        <w:rPr>
          <w:rFonts w:hint="eastAsia" w:ascii="仿宋" w:hAnsi="仿宋" w:eastAsia="仿宋" w:cs="仿宋"/>
          <w:b/>
          <w:bCs/>
          <w:sz w:val="21"/>
          <w:highlight w:val="none"/>
        </w:rPr>
        <w:t>9、货款支付</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 xml:space="preserve">9.1 本合同项下所有款项均以人民币支付。 </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9.2 本合同项下的采购资金由甲方支付，付款前乙方向甲方开具发票。</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9.3 付款方式：合同签订后不付预付款。供货到位验收合格后付款至发票金额的95%，不计利息；预留5%质量保证金，待质保期满一年后，经使用单位（部门）确认无遗留问题后付清。</w:t>
      </w:r>
    </w:p>
    <w:p>
      <w:pPr>
        <w:pStyle w:val="11"/>
        <w:wordWrap w:val="0"/>
        <w:topLinePunct/>
        <w:adjustRightInd w:val="0"/>
        <w:snapToGrid w:val="0"/>
        <w:spacing w:line="360" w:lineRule="auto"/>
        <w:ind w:firstLine="422" w:firstLineChars="200"/>
        <w:jc w:val="left"/>
        <w:rPr>
          <w:rFonts w:ascii="仿宋" w:hAnsi="仿宋" w:eastAsia="仿宋" w:cs="仿宋"/>
          <w:b/>
          <w:bCs/>
          <w:sz w:val="21"/>
          <w:highlight w:val="none"/>
        </w:rPr>
      </w:pPr>
      <w:r>
        <w:rPr>
          <w:rFonts w:hint="eastAsia" w:ascii="仿宋" w:hAnsi="仿宋" w:eastAsia="仿宋" w:cs="仿宋"/>
          <w:b/>
          <w:bCs/>
          <w:sz w:val="21"/>
          <w:highlight w:val="none"/>
        </w:rPr>
        <w:t>10、税费</w:t>
      </w:r>
    </w:p>
    <w:p>
      <w:pPr>
        <w:pStyle w:val="11"/>
        <w:wordWrap w:val="0"/>
        <w:topLinePunct/>
        <w:adjustRightInd w:val="0"/>
        <w:snapToGrid w:val="0"/>
        <w:spacing w:line="360" w:lineRule="auto"/>
        <w:ind w:firstLine="420" w:firstLineChars="200"/>
        <w:jc w:val="left"/>
        <w:rPr>
          <w:rFonts w:ascii="仿宋" w:hAnsi="仿宋" w:eastAsia="仿宋" w:cs="仿宋"/>
          <w:b/>
          <w:bCs/>
          <w:sz w:val="21"/>
          <w:highlight w:val="none"/>
        </w:rPr>
      </w:pPr>
      <w:r>
        <w:rPr>
          <w:rFonts w:hint="eastAsia" w:ascii="仿宋" w:hAnsi="仿宋" w:eastAsia="仿宋" w:cs="仿宋"/>
          <w:sz w:val="21"/>
          <w:highlight w:val="none"/>
        </w:rPr>
        <w:t>本合同执行中相关的一切税费均由乙方负担。</w:t>
      </w:r>
    </w:p>
    <w:p>
      <w:pPr>
        <w:pStyle w:val="11"/>
        <w:wordWrap w:val="0"/>
        <w:topLinePunct/>
        <w:adjustRightInd w:val="0"/>
        <w:snapToGrid w:val="0"/>
        <w:spacing w:line="360" w:lineRule="auto"/>
        <w:ind w:firstLine="422" w:firstLineChars="200"/>
        <w:jc w:val="left"/>
        <w:rPr>
          <w:rFonts w:ascii="仿宋" w:hAnsi="仿宋" w:eastAsia="仿宋" w:cs="仿宋"/>
          <w:b/>
          <w:bCs/>
          <w:sz w:val="21"/>
          <w:highlight w:val="none"/>
        </w:rPr>
      </w:pPr>
      <w:r>
        <w:rPr>
          <w:rFonts w:hint="eastAsia" w:ascii="仿宋" w:hAnsi="仿宋" w:eastAsia="仿宋" w:cs="仿宋"/>
          <w:b/>
          <w:bCs/>
          <w:sz w:val="21"/>
          <w:highlight w:val="none"/>
        </w:rPr>
        <w:t>11、质量保证及售后服务</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11.1 乙方应按招标文件规定及响应文件承诺的技术性能、技术要求、质量标准向甲方提供服务；若无特殊说明，则按国家有关部门最新颁布的标准及规范为准。</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11.2乙方应保证其提供的服务是全面和规范的，并完全符合招投标文件。如因乙方提供的服务有瑕疵造成甲方损失的，所需费用由乙方承担。</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11.3 如在使用过程中发生质量问题，乙方在接到甲方通知后在</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小时内到达甲方现场。</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11.4 服务期内，乙方应对所提供服务出现的质量及安全问题负责处理解决并承担一切费用。</w:t>
      </w:r>
    </w:p>
    <w:p>
      <w:pPr>
        <w:pStyle w:val="11"/>
        <w:wordWrap w:val="0"/>
        <w:topLinePunct/>
        <w:adjustRightInd w:val="0"/>
        <w:snapToGrid w:val="0"/>
        <w:spacing w:line="360" w:lineRule="auto"/>
        <w:ind w:firstLine="422" w:firstLineChars="200"/>
        <w:jc w:val="left"/>
        <w:rPr>
          <w:rFonts w:ascii="仿宋" w:hAnsi="仿宋" w:eastAsia="仿宋" w:cs="仿宋"/>
          <w:b/>
          <w:bCs/>
          <w:sz w:val="21"/>
          <w:highlight w:val="none"/>
        </w:rPr>
      </w:pPr>
      <w:r>
        <w:rPr>
          <w:rFonts w:hint="eastAsia" w:ascii="仿宋" w:hAnsi="仿宋" w:eastAsia="仿宋" w:cs="仿宋"/>
          <w:b/>
          <w:bCs/>
          <w:sz w:val="21"/>
          <w:highlight w:val="none"/>
        </w:rPr>
        <w:t>12、交付和验收</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12.1 乙方应当在合同签订后</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天内开始实施服务事项，招标文件有约定的，从其约定。</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在服务实施前，乙方应提交拟投入的服务设备清单。甲方提供场地并有权对设备清单进行全面检查，不能够正常使用的设备由中标单位立即更换或修复，检验的结果作为第一个月考核依据之一。</w:t>
      </w:r>
    </w:p>
    <w:p>
      <w:pPr>
        <w:pStyle w:val="11"/>
        <w:wordWrap w:val="0"/>
        <w:topLinePunct/>
        <w:adjustRightInd w:val="0"/>
        <w:snapToGrid w:val="0"/>
        <w:spacing w:line="360" w:lineRule="auto"/>
        <w:ind w:firstLine="422" w:firstLineChars="200"/>
        <w:jc w:val="left"/>
        <w:rPr>
          <w:rFonts w:ascii="仿宋" w:hAnsi="仿宋" w:eastAsia="仿宋" w:cs="仿宋"/>
          <w:b/>
          <w:bCs/>
          <w:sz w:val="21"/>
          <w:highlight w:val="none"/>
        </w:rPr>
      </w:pPr>
      <w:r>
        <w:rPr>
          <w:rFonts w:hint="eastAsia" w:ascii="仿宋" w:hAnsi="仿宋" w:eastAsia="仿宋" w:cs="仿宋"/>
          <w:b/>
          <w:bCs/>
          <w:sz w:val="21"/>
          <w:highlight w:val="none"/>
        </w:rPr>
        <w:t>13、违约责任</w:t>
      </w:r>
    </w:p>
    <w:p>
      <w:pPr>
        <w:pStyle w:val="11"/>
        <w:wordWrap w:val="0"/>
        <w:topLinePunct/>
        <w:adjustRightInd w:val="0"/>
        <w:snapToGrid w:val="0"/>
        <w:spacing w:line="360" w:lineRule="auto"/>
        <w:ind w:firstLine="420" w:firstLineChars="200"/>
        <w:jc w:val="left"/>
        <w:rPr>
          <w:rFonts w:ascii="仿宋" w:hAnsi="仿宋" w:eastAsia="仿宋" w:cs="仿宋"/>
          <w:sz w:val="21"/>
          <w:highlight w:val="none"/>
        </w:rPr>
      </w:pPr>
      <w:r>
        <w:rPr>
          <w:rFonts w:hint="eastAsia" w:ascii="仿宋" w:hAnsi="仿宋" w:eastAsia="仿宋" w:cs="仿宋"/>
          <w:sz w:val="21"/>
          <w:highlight w:val="none"/>
        </w:rPr>
        <w:t>13.1 甲方无正当理由拒绝初验收和终验收服务项目的，甲方应按未付服务项目款金额每日万分之五向乙方支付违约金。</w:t>
      </w:r>
    </w:p>
    <w:p>
      <w:pPr>
        <w:pStyle w:val="11"/>
        <w:wordWrap w:val="0"/>
        <w:topLinePunct/>
        <w:adjustRightInd w:val="0"/>
        <w:snapToGrid w:val="0"/>
        <w:spacing w:line="360" w:lineRule="auto"/>
        <w:ind w:firstLine="420" w:firstLineChars="200"/>
        <w:jc w:val="left"/>
        <w:rPr>
          <w:rFonts w:ascii="仿宋" w:hAnsi="仿宋" w:eastAsia="仿宋" w:cs="仿宋"/>
          <w:sz w:val="21"/>
          <w:highlight w:val="none"/>
        </w:rPr>
      </w:pPr>
      <w:r>
        <w:rPr>
          <w:rFonts w:hint="eastAsia" w:ascii="仿宋" w:hAnsi="仿宋" w:eastAsia="仿宋" w:cs="仿宋"/>
          <w:sz w:val="21"/>
          <w:highlight w:val="none"/>
        </w:rPr>
        <w:t>13.2 甲方无故逾期验收和无故逾期办理款项支付手续的,甲方应按逾期付款金额每日万分之五向乙方支付违约金。</w:t>
      </w:r>
    </w:p>
    <w:p>
      <w:pPr>
        <w:pStyle w:val="11"/>
        <w:wordWrap w:val="0"/>
        <w:topLinePunct/>
        <w:adjustRightInd w:val="0"/>
        <w:snapToGrid w:val="0"/>
        <w:spacing w:line="360" w:lineRule="auto"/>
        <w:ind w:firstLine="420" w:firstLineChars="200"/>
        <w:jc w:val="left"/>
        <w:rPr>
          <w:rFonts w:ascii="仿宋" w:hAnsi="仿宋" w:eastAsia="仿宋" w:cs="仿宋"/>
          <w:sz w:val="21"/>
          <w:highlight w:val="none"/>
        </w:rPr>
      </w:pPr>
      <w:r>
        <w:rPr>
          <w:rFonts w:hint="eastAsia" w:ascii="仿宋" w:hAnsi="仿宋" w:eastAsia="仿宋" w:cs="仿宋"/>
          <w:sz w:val="21"/>
          <w:highlight w:val="none"/>
        </w:rPr>
        <w:t>13.3乙方违约，在消除违约情形前，应按本合同项目总额每日万分之五向甲方支付违约金，甲方可以从待付款项中扣除。</w:t>
      </w:r>
    </w:p>
    <w:p>
      <w:pPr>
        <w:pStyle w:val="11"/>
        <w:wordWrap w:val="0"/>
        <w:topLinePunct/>
        <w:adjustRightInd w:val="0"/>
        <w:snapToGrid w:val="0"/>
        <w:spacing w:line="360" w:lineRule="auto"/>
        <w:ind w:firstLine="420" w:firstLineChars="200"/>
        <w:jc w:val="left"/>
        <w:rPr>
          <w:rFonts w:ascii="仿宋" w:hAnsi="仿宋" w:eastAsia="仿宋" w:cs="仿宋"/>
          <w:sz w:val="21"/>
          <w:highlight w:val="none"/>
        </w:rPr>
      </w:pPr>
      <w:r>
        <w:rPr>
          <w:rFonts w:hint="eastAsia" w:ascii="仿宋" w:hAnsi="仿宋" w:eastAsia="仿宋" w:cs="仿宋"/>
          <w:sz w:val="21"/>
          <w:highlight w:val="none"/>
        </w:rPr>
        <w:t>13.4乙方因逾期交付服务项目或因其他违约行为，导致甲方解除合同的，乙方应向甲方支付合同总值5%的违约金，如造成甲方损失超过违约金的，超出部分由乙方继续承担赔偿责任。</w:t>
      </w:r>
    </w:p>
    <w:p>
      <w:pPr>
        <w:pStyle w:val="11"/>
        <w:wordWrap w:val="0"/>
        <w:topLinePunct/>
        <w:adjustRightInd w:val="0"/>
        <w:snapToGrid w:val="0"/>
        <w:spacing w:line="360" w:lineRule="auto"/>
        <w:ind w:firstLine="420" w:firstLineChars="200"/>
        <w:jc w:val="left"/>
        <w:rPr>
          <w:rFonts w:ascii="仿宋" w:hAnsi="仿宋" w:eastAsia="仿宋" w:cs="仿宋"/>
          <w:sz w:val="21"/>
          <w:highlight w:val="none"/>
        </w:rPr>
      </w:pPr>
      <w:r>
        <w:rPr>
          <w:rFonts w:hint="eastAsia" w:ascii="仿宋" w:hAnsi="仿宋" w:eastAsia="仿宋" w:cs="仿宋"/>
          <w:sz w:val="21"/>
          <w:highlight w:val="none"/>
        </w:rPr>
        <w:t>13.5 乙方所交的服务项目全部或部分质量不符合合同规定及招标文件规定标准的，乙方更换服务但逾期交付的（甲方拒绝接受的除外），按乙方逾期交付处理；乙方拒绝更换的，甲方可选择解除本合同或本合同的一部分，并可追究乙方的其他违约责任。</w:t>
      </w:r>
    </w:p>
    <w:p>
      <w:pPr>
        <w:pStyle w:val="11"/>
        <w:wordWrap w:val="0"/>
        <w:topLinePunct/>
        <w:adjustRightInd w:val="0"/>
        <w:snapToGrid w:val="0"/>
        <w:spacing w:line="360" w:lineRule="auto"/>
        <w:ind w:firstLine="420" w:firstLineChars="200"/>
        <w:jc w:val="left"/>
        <w:rPr>
          <w:rFonts w:ascii="仿宋" w:hAnsi="仿宋" w:eastAsia="仿宋" w:cs="仿宋"/>
          <w:sz w:val="21"/>
          <w:highlight w:val="none"/>
        </w:rPr>
      </w:pPr>
      <w:r>
        <w:rPr>
          <w:rFonts w:hint="eastAsia" w:ascii="仿宋" w:hAnsi="仿宋" w:eastAsia="仿宋" w:cs="仿宋"/>
          <w:sz w:val="21"/>
          <w:highlight w:val="none"/>
        </w:rPr>
        <w:t>13.6合同生效后，发现乙方投标属虚假承诺，或经权威部门监测提供的服务不能满足招标文件要求，造成合同无法继续履行的，乙方履约保证金不予退还外，还应向甲方支付不少于合同总价</w:t>
      </w:r>
      <w:r>
        <w:rPr>
          <w:rFonts w:hint="eastAsia" w:ascii="仿宋" w:hAnsi="仿宋" w:eastAsia="仿宋" w:cs="仿宋"/>
          <w:sz w:val="21"/>
          <w:highlight w:val="none"/>
          <w:u w:val="single"/>
        </w:rPr>
        <w:t xml:space="preserve">   </w:t>
      </w:r>
      <w:r>
        <w:rPr>
          <w:rFonts w:hint="eastAsia" w:ascii="仿宋" w:hAnsi="仿宋" w:eastAsia="仿宋" w:cs="仿宋"/>
          <w:sz w:val="21"/>
          <w:highlight w:val="none"/>
        </w:rPr>
        <w:t>%赔偿金。</w:t>
      </w:r>
    </w:p>
    <w:p>
      <w:pPr>
        <w:pStyle w:val="11"/>
        <w:wordWrap w:val="0"/>
        <w:topLinePunct/>
        <w:adjustRightInd w:val="0"/>
        <w:snapToGrid w:val="0"/>
        <w:spacing w:line="360" w:lineRule="auto"/>
        <w:ind w:firstLine="422" w:firstLineChars="200"/>
        <w:jc w:val="left"/>
        <w:rPr>
          <w:rFonts w:ascii="仿宋" w:hAnsi="仿宋" w:eastAsia="仿宋" w:cs="仿宋"/>
          <w:b/>
          <w:bCs/>
          <w:sz w:val="21"/>
          <w:highlight w:val="none"/>
        </w:rPr>
      </w:pPr>
      <w:r>
        <w:rPr>
          <w:rFonts w:hint="eastAsia" w:ascii="仿宋" w:hAnsi="仿宋" w:eastAsia="仿宋" w:cs="仿宋"/>
          <w:b/>
          <w:bCs/>
          <w:sz w:val="21"/>
          <w:highlight w:val="none"/>
        </w:rPr>
        <w:t>14、不可抗力事件处理</w:t>
      </w:r>
    </w:p>
    <w:p>
      <w:pPr>
        <w:pStyle w:val="11"/>
        <w:wordWrap w:val="0"/>
        <w:topLinePunct/>
        <w:adjustRightInd w:val="0"/>
        <w:snapToGrid w:val="0"/>
        <w:spacing w:line="360" w:lineRule="auto"/>
        <w:ind w:firstLine="420" w:firstLineChars="200"/>
        <w:jc w:val="left"/>
        <w:rPr>
          <w:rFonts w:ascii="仿宋" w:hAnsi="仿宋" w:eastAsia="仿宋" w:cs="仿宋"/>
          <w:sz w:val="21"/>
          <w:highlight w:val="none"/>
        </w:rPr>
      </w:pPr>
      <w:r>
        <w:rPr>
          <w:rFonts w:hint="eastAsia" w:ascii="仿宋" w:hAnsi="仿宋" w:eastAsia="仿宋" w:cs="仿宋"/>
          <w:sz w:val="21"/>
          <w:highlight w:val="none"/>
        </w:rPr>
        <w:t>14.1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1"/>
        <w:wordWrap w:val="0"/>
        <w:topLinePunct/>
        <w:adjustRightInd w:val="0"/>
        <w:snapToGrid w:val="0"/>
        <w:spacing w:line="360" w:lineRule="auto"/>
        <w:ind w:firstLine="420" w:firstLineChars="200"/>
        <w:jc w:val="left"/>
        <w:rPr>
          <w:rFonts w:ascii="仿宋" w:hAnsi="仿宋" w:eastAsia="仿宋" w:cs="仿宋"/>
          <w:sz w:val="21"/>
          <w:highlight w:val="none"/>
        </w:rPr>
      </w:pPr>
      <w:r>
        <w:rPr>
          <w:rFonts w:hint="eastAsia" w:ascii="仿宋" w:hAnsi="仿宋" w:eastAsia="仿宋" w:cs="仿宋"/>
          <w:sz w:val="21"/>
          <w:highlight w:val="none"/>
        </w:rPr>
        <w:t>14.2不可抗力事件发生后，应立即通知对方，并寄送有关权威机构出具的证明。除甲方书面另行要求外，乙方应尽实际可能继续履行合同义务，以及寻求采取合理的方案履行不受不可抗力影响的其他事项。若不可抗力事件延续时间较长，双方应通过友好协商，确定是否继续履行合同和核减相关的费用。</w:t>
      </w:r>
    </w:p>
    <w:p>
      <w:pPr>
        <w:pStyle w:val="11"/>
        <w:wordWrap w:val="0"/>
        <w:topLinePunct/>
        <w:adjustRightInd w:val="0"/>
        <w:snapToGrid w:val="0"/>
        <w:spacing w:line="360" w:lineRule="auto"/>
        <w:ind w:firstLine="422" w:firstLineChars="200"/>
        <w:jc w:val="left"/>
        <w:rPr>
          <w:rFonts w:ascii="仿宋" w:hAnsi="仿宋" w:eastAsia="仿宋" w:cs="仿宋"/>
          <w:b/>
          <w:bCs/>
          <w:sz w:val="21"/>
          <w:highlight w:val="none"/>
        </w:rPr>
      </w:pPr>
      <w:r>
        <w:rPr>
          <w:rFonts w:hint="eastAsia" w:ascii="仿宋" w:hAnsi="仿宋" w:eastAsia="仿宋" w:cs="仿宋"/>
          <w:b/>
          <w:bCs/>
          <w:sz w:val="21"/>
          <w:highlight w:val="none"/>
        </w:rPr>
        <w:t>15、争议解决</w:t>
      </w:r>
    </w:p>
    <w:p>
      <w:pPr>
        <w:pStyle w:val="11"/>
        <w:wordWrap w:val="0"/>
        <w:topLinePunct/>
        <w:adjustRightInd w:val="0"/>
        <w:snapToGrid w:val="0"/>
        <w:spacing w:line="360" w:lineRule="auto"/>
        <w:ind w:firstLine="420" w:firstLineChars="200"/>
        <w:jc w:val="left"/>
        <w:rPr>
          <w:rFonts w:ascii="仿宋" w:hAnsi="仿宋" w:eastAsia="仿宋" w:cs="仿宋"/>
          <w:sz w:val="21"/>
          <w:highlight w:val="none"/>
        </w:rPr>
      </w:pPr>
      <w:r>
        <w:rPr>
          <w:rFonts w:hint="eastAsia" w:ascii="仿宋" w:hAnsi="仿宋" w:eastAsia="仿宋" w:cs="仿宋"/>
          <w:sz w:val="21"/>
          <w:highlight w:val="none"/>
        </w:rPr>
        <w:t>15.1 因服务的品质质量问题发生争议的，可在国家认可的质量检测机构对服务内容质量进行鉴定。服务符合标准的，鉴定费由甲方承担；服务项目不符合质量标准的，鉴定费由乙方承担。</w:t>
      </w:r>
    </w:p>
    <w:p>
      <w:pPr>
        <w:pStyle w:val="11"/>
        <w:wordWrap w:val="0"/>
        <w:topLinePunct/>
        <w:adjustRightInd w:val="0"/>
        <w:snapToGrid w:val="0"/>
        <w:spacing w:line="360" w:lineRule="auto"/>
        <w:ind w:firstLine="420" w:firstLineChars="200"/>
        <w:jc w:val="left"/>
        <w:rPr>
          <w:rFonts w:ascii="仿宋" w:hAnsi="仿宋" w:eastAsia="仿宋" w:cs="仿宋"/>
          <w:sz w:val="21"/>
          <w:highlight w:val="none"/>
        </w:rPr>
      </w:pPr>
      <w:r>
        <w:rPr>
          <w:rFonts w:hint="eastAsia" w:ascii="仿宋" w:hAnsi="仿宋" w:eastAsia="仿宋" w:cs="仿宋"/>
          <w:sz w:val="21"/>
          <w:highlight w:val="none"/>
        </w:rPr>
        <w:t>15.2 因履行本合同引起的或与本合同有关的争议，甲、乙双方应首先通过友好协商解决；如果协商不能解决争议，甲乙双方同意采取下列两种方式的第</w:t>
      </w:r>
      <w:r>
        <w:rPr>
          <w:rFonts w:hint="eastAsia" w:ascii="仿宋" w:hAnsi="仿宋" w:eastAsia="仿宋" w:cs="仿宋"/>
          <w:sz w:val="21"/>
          <w:highlight w:val="none"/>
          <w:u w:val="single"/>
        </w:rPr>
        <w:t>（   ）</w:t>
      </w:r>
      <w:r>
        <w:rPr>
          <w:rFonts w:hint="eastAsia" w:ascii="仿宋" w:hAnsi="仿宋" w:eastAsia="仿宋" w:cs="仿宋"/>
          <w:sz w:val="21"/>
          <w:highlight w:val="none"/>
        </w:rPr>
        <w:t>种方式解决争议：</w:t>
      </w:r>
    </w:p>
    <w:p>
      <w:pPr>
        <w:pStyle w:val="11"/>
        <w:wordWrap w:val="0"/>
        <w:topLinePunct/>
        <w:adjustRightInd w:val="0"/>
        <w:snapToGrid w:val="0"/>
        <w:spacing w:line="360" w:lineRule="auto"/>
        <w:ind w:firstLine="420" w:firstLineChars="200"/>
        <w:jc w:val="left"/>
        <w:rPr>
          <w:rFonts w:ascii="仿宋" w:hAnsi="仿宋" w:eastAsia="仿宋" w:cs="仿宋"/>
          <w:sz w:val="21"/>
          <w:highlight w:val="none"/>
        </w:rPr>
      </w:pPr>
      <w:r>
        <w:rPr>
          <w:rFonts w:hint="eastAsia" w:ascii="仿宋" w:hAnsi="仿宋" w:eastAsia="仿宋" w:cs="仿宋"/>
          <w:sz w:val="21"/>
          <w:highlight w:val="none"/>
        </w:rPr>
        <w:t>（1）向</w:t>
      </w:r>
      <w:r>
        <w:rPr>
          <w:rFonts w:hint="eastAsia" w:ascii="仿宋" w:hAnsi="仿宋" w:eastAsia="仿宋" w:cs="仿宋"/>
          <w:sz w:val="21"/>
          <w:highlight w:val="none"/>
          <w:u w:val="single"/>
        </w:rPr>
        <w:t>甲方所在地</w:t>
      </w:r>
      <w:r>
        <w:rPr>
          <w:rFonts w:hint="eastAsia" w:ascii="仿宋" w:hAnsi="仿宋" w:eastAsia="仿宋" w:cs="仿宋"/>
          <w:sz w:val="21"/>
          <w:highlight w:val="none"/>
        </w:rPr>
        <w:t>有管辖权的人民法院提起诉讼，适用中华人民共和国法律；</w:t>
      </w:r>
    </w:p>
    <w:p>
      <w:pPr>
        <w:pStyle w:val="11"/>
        <w:wordWrap w:val="0"/>
        <w:topLinePunct/>
        <w:adjustRightInd w:val="0"/>
        <w:snapToGrid w:val="0"/>
        <w:spacing w:line="360" w:lineRule="auto"/>
        <w:ind w:firstLine="420" w:firstLineChars="200"/>
        <w:jc w:val="left"/>
        <w:rPr>
          <w:rFonts w:ascii="仿宋" w:hAnsi="仿宋" w:eastAsia="仿宋" w:cs="仿宋"/>
          <w:sz w:val="21"/>
          <w:highlight w:val="none"/>
        </w:rPr>
      </w:pPr>
      <w:r>
        <w:rPr>
          <w:rFonts w:hint="eastAsia" w:ascii="仿宋" w:hAnsi="仿宋" w:eastAsia="仿宋" w:cs="仿宋"/>
          <w:sz w:val="21"/>
          <w:highlight w:val="none"/>
        </w:rPr>
        <w:t>（2）向</w:t>
      </w:r>
      <w:r>
        <w:rPr>
          <w:rFonts w:hint="eastAsia" w:ascii="仿宋" w:hAnsi="仿宋" w:eastAsia="仿宋" w:cs="仿宋"/>
          <w:sz w:val="21"/>
          <w:highlight w:val="none"/>
          <w:u w:val="single"/>
        </w:rPr>
        <w:t>扬州</w:t>
      </w:r>
      <w:r>
        <w:rPr>
          <w:rFonts w:hint="eastAsia" w:ascii="仿宋" w:hAnsi="仿宋" w:eastAsia="仿宋" w:cs="仿宋"/>
          <w:sz w:val="21"/>
          <w:highlight w:val="none"/>
        </w:rPr>
        <w:t>仲裁委员会按其仲裁规则申请仲裁。</w:t>
      </w:r>
    </w:p>
    <w:p>
      <w:pPr>
        <w:pStyle w:val="11"/>
        <w:wordWrap w:val="0"/>
        <w:topLinePunct/>
        <w:adjustRightInd w:val="0"/>
        <w:snapToGrid w:val="0"/>
        <w:spacing w:line="360" w:lineRule="auto"/>
        <w:ind w:firstLine="420" w:firstLineChars="200"/>
        <w:jc w:val="left"/>
        <w:rPr>
          <w:rFonts w:ascii="仿宋" w:hAnsi="仿宋" w:eastAsia="仿宋" w:cs="仿宋"/>
          <w:sz w:val="21"/>
          <w:highlight w:val="none"/>
        </w:rPr>
      </w:pPr>
      <w:r>
        <w:rPr>
          <w:rFonts w:hint="eastAsia" w:ascii="仿宋" w:hAnsi="仿宋" w:eastAsia="仿宋" w:cs="仿宋"/>
          <w:sz w:val="21"/>
          <w:highlight w:val="none"/>
        </w:rPr>
        <w:t>15.3 若甲乙双方任何一方都没有选择解除合同的，为避免扩大损失，在诉讼或仲裁期间，双方应继续履行。</w:t>
      </w:r>
    </w:p>
    <w:p>
      <w:pPr>
        <w:pStyle w:val="11"/>
        <w:wordWrap w:val="0"/>
        <w:topLinePunct/>
        <w:adjustRightInd w:val="0"/>
        <w:snapToGrid w:val="0"/>
        <w:spacing w:line="360" w:lineRule="auto"/>
        <w:ind w:firstLine="422" w:firstLineChars="200"/>
        <w:jc w:val="left"/>
        <w:rPr>
          <w:rFonts w:ascii="仿宋" w:hAnsi="仿宋" w:eastAsia="仿宋" w:cs="仿宋"/>
          <w:b/>
          <w:bCs/>
          <w:sz w:val="21"/>
          <w:highlight w:val="none"/>
        </w:rPr>
      </w:pPr>
      <w:r>
        <w:rPr>
          <w:rFonts w:hint="eastAsia" w:ascii="仿宋" w:hAnsi="仿宋" w:eastAsia="仿宋" w:cs="仿宋"/>
          <w:b/>
          <w:bCs/>
          <w:sz w:val="21"/>
          <w:highlight w:val="none"/>
        </w:rPr>
        <w:t>16、合同其它</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16.1 乙方应诚实信用，严格按照招标文件要求和投标承诺履行合同，不向甲方进行商业贿赂或者提供不正当利益。</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u w:val="single"/>
        </w:rPr>
      </w:pPr>
      <w:r>
        <w:rPr>
          <w:rFonts w:hint="eastAsia" w:ascii="仿宋" w:hAnsi="仿宋" w:eastAsia="仿宋" w:cs="仿宋"/>
          <w:kern w:val="0"/>
          <w:szCs w:val="21"/>
          <w:highlight w:val="none"/>
        </w:rPr>
        <w:t>16.2 合同经双方法定代表人或授权代表签字并加盖单位公章，并经江苏省鼎诚建设工程顾问有限公司见证盖章后生效。</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u w:val="single"/>
        </w:rPr>
      </w:pPr>
      <w:r>
        <w:rPr>
          <w:rFonts w:hint="eastAsia" w:ascii="仿宋" w:hAnsi="仿宋" w:eastAsia="仿宋" w:cs="仿宋"/>
          <w:kern w:val="0"/>
          <w:szCs w:val="21"/>
          <w:highlight w:val="none"/>
        </w:rPr>
        <w:t>16.3本合同未尽事宜，遵照《民法典》有关条文执行。</w:t>
      </w:r>
    </w:p>
    <w:p>
      <w:pPr>
        <w:wordWrap w:val="0"/>
        <w:topLinePunct/>
        <w:adjustRightInd w:val="0"/>
        <w:snapToGrid w:val="0"/>
        <w:spacing w:line="360" w:lineRule="auto"/>
        <w:ind w:firstLine="420" w:firstLineChars="200"/>
        <w:jc w:val="left"/>
        <w:rPr>
          <w:rFonts w:ascii="仿宋" w:hAnsi="仿宋" w:eastAsia="仿宋" w:cs="仿宋"/>
          <w:kern w:val="0"/>
          <w:szCs w:val="21"/>
          <w:highlight w:val="none"/>
        </w:rPr>
      </w:pPr>
      <w:r>
        <w:rPr>
          <w:rFonts w:hint="eastAsia" w:ascii="仿宋" w:hAnsi="仿宋" w:eastAsia="仿宋" w:cs="仿宋"/>
          <w:kern w:val="0"/>
          <w:szCs w:val="21"/>
          <w:highlight w:val="none"/>
        </w:rPr>
        <w:t>16.4 本合同正本一式伍份，具有同等法律效力，甲方、乙方各执二份、见证方执一份。</w:t>
      </w:r>
    </w:p>
    <w:tbl>
      <w:tblPr>
        <w:tblStyle w:val="26"/>
        <w:tblW w:w="4998" w:type="pct"/>
        <w:jc w:val="center"/>
        <w:tblLayout w:type="autofit"/>
        <w:tblCellMar>
          <w:top w:w="0" w:type="dxa"/>
          <w:left w:w="108" w:type="dxa"/>
          <w:bottom w:w="0" w:type="dxa"/>
          <w:right w:w="108" w:type="dxa"/>
        </w:tblCellMar>
      </w:tblPr>
      <w:tblGrid>
        <w:gridCol w:w="4282"/>
        <w:gridCol w:w="4237"/>
      </w:tblGrid>
      <w:tr>
        <w:tblPrEx>
          <w:tblCellMar>
            <w:top w:w="0" w:type="dxa"/>
            <w:left w:w="108" w:type="dxa"/>
            <w:bottom w:w="0" w:type="dxa"/>
            <w:right w:w="108" w:type="dxa"/>
          </w:tblCellMar>
        </w:tblPrEx>
        <w:trPr>
          <w:jc w:val="center"/>
        </w:trPr>
        <w:tc>
          <w:tcPr>
            <w:tcW w:w="2513" w:type="pct"/>
          </w:tcPr>
          <w:p>
            <w:pPr>
              <w:wordWrap w:val="0"/>
              <w:topLinePunct/>
              <w:snapToGrid w:val="0"/>
              <w:spacing w:before="120" w:after="120" w:line="360" w:lineRule="auto"/>
              <w:rPr>
                <w:rFonts w:ascii="仿宋" w:hAnsi="仿宋" w:eastAsia="仿宋" w:cs="仿宋"/>
                <w:kern w:val="0"/>
                <w:szCs w:val="21"/>
                <w:highlight w:val="none"/>
              </w:rPr>
            </w:pPr>
            <w:r>
              <w:rPr>
                <w:rFonts w:hint="eastAsia" w:ascii="仿宋" w:hAnsi="仿宋" w:eastAsia="仿宋" w:cs="仿宋"/>
                <w:kern w:val="0"/>
                <w:szCs w:val="21"/>
                <w:highlight w:val="none"/>
              </w:rPr>
              <w:t>甲方：</w:t>
            </w:r>
            <w:r>
              <w:rPr>
                <w:rFonts w:hint="eastAsia" w:ascii="仿宋" w:hAnsi="仿宋" w:eastAsia="仿宋" w:cs="仿宋"/>
                <w:kern w:val="0"/>
                <w:szCs w:val="21"/>
                <w:highlight w:val="none"/>
              </w:rPr>
              <w:tab/>
            </w:r>
          </w:p>
        </w:tc>
        <w:tc>
          <w:tcPr>
            <w:tcW w:w="2486" w:type="pct"/>
          </w:tcPr>
          <w:p>
            <w:pPr>
              <w:wordWrap w:val="0"/>
              <w:topLinePunct/>
              <w:snapToGrid w:val="0"/>
              <w:spacing w:before="120" w:after="120" w:line="360" w:lineRule="auto"/>
              <w:rPr>
                <w:rFonts w:ascii="仿宋" w:hAnsi="仿宋" w:eastAsia="仿宋" w:cs="仿宋"/>
                <w:kern w:val="0"/>
                <w:szCs w:val="21"/>
                <w:highlight w:val="none"/>
              </w:rPr>
            </w:pPr>
            <w:r>
              <w:rPr>
                <w:rFonts w:hint="eastAsia" w:ascii="仿宋" w:hAnsi="仿宋" w:eastAsia="仿宋" w:cs="仿宋"/>
                <w:kern w:val="0"/>
                <w:szCs w:val="21"/>
                <w:highlight w:val="none"/>
              </w:rPr>
              <w:t xml:space="preserve">乙方： </w:t>
            </w:r>
          </w:p>
        </w:tc>
      </w:tr>
      <w:tr>
        <w:tblPrEx>
          <w:tblCellMar>
            <w:top w:w="0" w:type="dxa"/>
            <w:left w:w="108" w:type="dxa"/>
            <w:bottom w:w="0" w:type="dxa"/>
            <w:right w:w="108" w:type="dxa"/>
          </w:tblCellMar>
        </w:tblPrEx>
        <w:trPr>
          <w:jc w:val="center"/>
        </w:trPr>
        <w:tc>
          <w:tcPr>
            <w:tcW w:w="2513" w:type="pct"/>
          </w:tcPr>
          <w:p>
            <w:pPr>
              <w:wordWrap w:val="0"/>
              <w:topLinePunct/>
              <w:snapToGrid w:val="0"/>
              <w:spacing w:before="120" w:after="120" w:line="360" w:lineRule="auto"/>
              <w:rPr>
                <w:rFonts w:ascii="仿宋" w:hAnsi="仿宋" w:eastAsia="仿宋" w:cs="仿宋"/>
                <w:kern w:val="0"/>
                <w:szCs w:val="21"/>
                <w:highlight w:val="none"/>
              </w:rPr>
            </w:pPr>
            <w:r>
              <w:rPr>
                <w:rFonts w:hint="eastAsia" w:ascii="仿宋" w:hAnsi="仿宋" w:eastAsia="仿宋" w:cs="仿宋"/>
                <w:kern w:val="0"/>
                <w:szCs w:val="21"/>
                <w:highlight w:val="none"/>
              </w:rPr>
              <w:t xml:space="preserve">地址： </w:t>
            </w:r>
          </w:p>
        </w:tc>
        <w:tc>
          <w:tcPr>
            <w:tcW w:w="2486" w:type="pct"/>
          </w:tcPr>
          <w:p>
            <w:pPr>
              <w:wordWrap w:val="0"/>
              <w:topLinePunct/>
              <w:snapToGrid w:val="0"/>
              <w:spacing w:before="120" w:after="120" w:line="360" w:lineRule="auto"/>
              <w:rPr>
                <w:rFonts w:ascii="仿宋" w:hAnsi="仿宋" w:eastAsia="仿宋" w:cs="仿宋"/>
                <w:kern w:val="0"/>
                <w:szCs w:val="21"/>
                <w:highlight w:val="none"/>
              </w:rPr>
            </w:pPr>
            <w:r>
              <w:rPr>
                <w:rFonts w:hint="eastAsia" w:ascii="仿宋" w:hAnsi="仿宋" w:eastAsia="仿宋" w:cs="仿宋"/>
                <w:kern w:val="0"/>
                <w:szCs w:val="21"/>
                <w:highlight w:val="none"/>
              </w:rPr>
              <w:t xml:space="preserve">地址： </w:t>
            </w:r>
          </w:p>
        </w:tc>
      </w:tr>
      <w:tr>
        <w:tblPrEx>
          <w:tblCellMar>
            <w:top w:w="0" w:type="dxa"/>
            <w:left w:w="108" w:type="dxa"/>
            <w:bottom w:w="0" w:type="dxa"/>
            <w:right w:w="108" w:type="dxa"/>
          </w:tblCellMar>
        </w:tblPrEx>
        <w:trPr>
          <w:jc w:val="center"/>
        </w:trPr>
        <w:tc>
          <w:tcPr>
            <w:tcW w:w="2513" w:type="pct"/>
          </w:tcPr>
          <w:p>
            <w:pPr>
              <w:wordWrap w:val="0"/>
              <w:topLinePunct/>
              <w:snapToGrid w:val="0"/>
              <w:spacing w:before="120" w:after="120" w:line="360" w:lineRule="auto"/>
              <w:rPr>
                <w:rFonts w:ascii="仿宋" w:hAnsi="仿宋" w:eastAsia="仿宋" w:cs="仿宋"/>
                <w:kern w:val="0"/>
                <w:szCs w:val="21"/>
                <w:highlight w:val="none"/>
              </w:rPr>
            </w:pPr>
            <w:r>
              <w:rPr>
                <w:rFonts w:hint="eastAsia" w:ascii="仿宋" w:hAnsi="仿宋" w:eastAsia="仿宋" w:cs="仿宋"/>
                <w:kern w:val="0"/>
                <w:szCs w:val="21"/>
                <w:highlight w:val="none"/>
              </w:rPr>
              <w:t>法定代表人或授权代表：</w:t>
            </w:r>
          </w:p>
        </w:tc>
        <w:tc>
          <w:tcPr>
            <w:tcW w:w="2486" w:type="pct"/>
          </w:tcPr>
          <w:p>
            <w:pPr>
              <w:wordWrap w:val="0"/>
              <w:topLinePunct/>
              <w:snapToGrid w:val="0"/>
              <w:spacing w:before="120" w:after="120" w:line="360" w:lineRule="auto"/>
              <w:rPr>
                <w:rFonts w:ascii="仿宋" w:hAnsi="仿宋" w:eastAsia="仿宋" w:cs="仿宋"/>
                <w:kern w:val="0"/>
                <w:szCs w:val="21"/>
                <w:highlight w:val="none"/>
              </w:rPr>
            </w:pPr>
            <w:r>
              <w:rPr>
                <w:rFonts w:hint="eastAsia" w:ascii="仿宋" w:hAnsi="仿宋" w:eastAsia="仿宋" w:cs="仿宋"/>
                <w:kern w:val="0"/>
                <w:szCs w:val="21"/>
                <w:highlight w:val="none"/>
              </w:rPr>
              <w:t>法定代表人或授权代表：</w:t>
            </w:r>
          </w:p>
        </w:tc>
      </w:tr>
      <w:tr>
        <w:tblPrEx>
          <w:tblCellMar>
            <w:top w:w="0" w:type="dxa"/>
            <w:left w:w="108" w:type="dxa"/>
            <w:bottom w:w="0" w:type="dxa"/>
            <w:right w:w="108" w:type="dxa"/>
          </w:tblCellMar>
        </w:tblPrEx>
        <w:trPr>
          <w:jc w:val="center"/>
        </w:trPr>
        <w:tc>
          <w:tcPr>
            <w:tcW w:w="2513" w:type="pct"/>
          </w:tcPr>
          <w:p>
            <w:pPr>
              <w:wordWrap w:val="0"/>
              <w:topLinePunct/>
              <w:snapToGrid w:val="0"/>
              <w:spacing w:before="120" w:after="120" w:line="360" w:lineRule="auto"/>
              <w:rPr>
                <w:rFonts w:ascii="仿宋" w:hAnsi="仿宋" w:eastAsia="仿宋" w:cs="仿宋"/>
                <w:kern w:val="0"/>
                <w:szCs w:val="21"/>
                <w:highlight w:val="none"/>
              </w:rPr>
            </w:pPr>
            <w:r>
              <w:rPr>
                <w:rFonts w:hint="eastAsia" w:ascii="仿宋" w:hAnsi="仿宋" w:eastAsia="仿宋" w:cs="仿宋"/>
                <w:kern w:val="0"/>
                <w:szCs w:val="21"/>
                <w:highlight w:val="none"/>
              </w:rPr>
              <w:t>联系电话：</w:t>
            </w:r>
          </w:p>
        </w:tc>
        <w:tc>
          <w:tcPr>
            <w:tcW w:w="2486" w:type="pct"/>
          </w:tcPr>
          <w:p>
            <w:pPr>
              <w:wordWrap w:val="0"/>
              <w:topLinePunct/>
              <w:snapToGrid w:val="0"/>
              <w:spacing w:before="120" w:after="120" w:line="360" w:lineRule="auto"/>
              <w:rPr>
                <w:rFonts w:ascii="仿宋" w:hAnsi="仿宋" w:eastAsia="仿宋" w:cs="仿宋"/>
                <w:kern w:val="0"/>
                <w:szCs w:val="21"/>
                <w:highlight w:val="none"/>
              </w:rPr>
            </w:pPr>
            <w:r>
              <w:rPr>
                <w:rFonts w:hint="eastAsia" w:ascii="仿宋" w:hAnsi="仿宋" w:eastAsia="仿宋" w:cs="仿宋"/>
                <w:kern w:val="0"/>
                <w:szCs w:val="21"/>
                <w:highlight w:val="none"/>
              </w:rPr>
              <w:t>联系电话：</w:t>
            </w:r>
          </w:p>
        </w:tc>
      </w:tr>
      <w:tr>
        <w:tblPrEx>
          <w:tblCellMar>
            <w:top w:w="0" w:type="dxa"/>
            <w:left w:w="108" w:type="dxa"/>
            <w:bottom w:w="0" w:type="dxa"/>
            <w:right w:w="108" w:type="dxa"/>
          </w:tblCellMar>
        </w:tblPrEx>
        <w:trPr>
          <w:jc w:val="center"/>
        </w:trPr>
        <w:tc>
          <w:tcPr>
            <w:tcW w:w="2513" w:type="pct"/>
          </w:tcPr>
          <w:p>
            <w:pPr>
              <w:wordWrap w:val="0"/>
              <w:topLinePunct/>
              <w:snapToGrid w:val="0"/>
              <w:spacing w:before="120" w:after="120" w:line="360" w:lineRule="auto"/>
              <w:rPr>
                <w:rFonts w:ascii="仿宋" w:hAnsi="仿宋" w:eastAsia="仿宋" w:cs="仿宋"/>
                <w:kern w:val="0"/>
                <w:szCs w:val="21"/>
                <w:highlight w:val="none"/>
              </w:rPr>
            </w:pPr>
            <w:r>
              <w:rPr>
                <w:rFonts w:hint="eastAsia" w:ascii="仿宋" w:hAnsi="仿宋" w:eastAsia="仿宋" w:cs="仿宋"/>
                <w:kern w:val="0"/>
                <w:szCs w:val="21"/>
                <w:highlight w:val="none"/>
              </w:rPr>
              <w:t xml:space="preserve">日期：      年    月    日  </w:t>
            </w:r>
          </w:p>
        </w:tc>
        <w:tc>
          <w:tcPr>
            <w:tcW w:w="2486" w:type="pct"/>
          </w:tcPr>
          <w:p>
            <w:pPr>
              <w:wordWrap w:val="0"/>
              <w:topLinePunct/>
              <w:snapToGrid w:val="0"/>
              <w:spacing w:before="120" w:after="120" w:line="360" w:lineRule="auto"/>
              <w:rPr>
                <w:rFonts w:ascii="仿宋" w:hAnsi="仿宋" w:eastAsia="仿宋" w:cs="仿宋"/>
                <w:kern w:val="0"/>
                <w:szCs w:val="21"/>
                <w:highlight w:val="none"/>
              </w:rPr>
            </w:pPr>
            <w:r>
              <w:rPr>
                <w:rFonts w:hint="eastAsia" w:ascii="仿宋" w:hAnsi="仿宋" w:eastAsia="仿宋" w:cs="仿宋"/>
                <w:kern w:val="0"/>
                <w:szCs w:val="21"/>
                <w:highlight w:val="none"/>
              </w:rPr>
              <w:t>日期：      年    月    日</w:t>
            </w:r>
          </w:p>
        </w:tc>
      </w:tr>
    </w:tbl>
    <w:p>
      <w:pPr>
        <w:wordWrap w:val="0"/>
        <w:topLinePunct/>
        <w:snapToGrid w:val="0"/>
        <w:spacing w:before="120" w:after="120" w:line="360" w:lineRule="auto"/>
        <w:rPr>
          <w:rFonts w:ascii="仿宋" w:hAnsi="仿宋" w:eastAsia="仿宋" w:cs="仿宋"/>
          <w:kern w:val="0"/>
          <w:szCs w:val="21"/>
          <w:highlight w:val="none"/>
        </w:rPr>
      </w:pPr>
    </w:p>
    <w:p>
      <w:pPr>
        <w:wordWrap w:val="0"/>
        <w:topLinePunct/>
        <w:snapToGrid w:val="0"/>
        <w:spacing w:before="120" w:after="120" w:line="360" w:lineRule="auto"/>
        <w:rPr>
          <w:rFonts w:ascii="仿宋" w:hAnsi="仿宋" w:eastAsia="仿宋" w:cs="仿宋"/>
          <w:kern w:val="0"/>
          <w:szCs w:val="21"/>
          <w:highlight w:val="none"/>
        </w:rPr>
      </w:pPr>
      <w:r>
        <w:rPr>
          <w:rFonts w:hint="eastAsia" w:ascii="仿宋" w:hAnsi="仿宋" w:eastAsia="仿宋" w:cs="仿宋"/>
          <w:kern w:val="0"/>
          <w:szCs w:val="21"/>
          <w:highlight w:val="none"/>
        </w:rPr>
        <w:t xml:space="preserve">见证方： </w:t>
      </w:r>
    </w:p>
    <w:p>
      <w:pPr>
        <w:wordWrap w:val="0"/>
        <w:topLinePunct/>
        <w:snapToGrid w:val="0"/>
        <w:spacing w:before="120" w:after="120" w:line="360" w:lineRule="auto"/>
        <w:rPr>
          <w:rFonts w:ascii="仿宋" w:hAnsi="仿宋" w:eastAsia="仿宋" w:cs="仿宋"/>
          <w:kern w:val="0"/>
          <w:szCs w:val="21"/>
          <w:highlight w:val="none"/>
        </w:rPr>
      </w:pPr>
      <w:r>
        <w:rPr>
          <w:rFonts w:hint="eastAsia" w:ascii="仿宋" w:hAnsi="仿宋" w:eastAsia="仿宋" w:cs="仿宋"/>
          <w:kern w:val="0"/>
          <w:szCs w:val="21"/>
          <w:highlight w:val="none"/>
        </w:rPr>
        <w:t>项目经办人：</w:t>
      </w:r>
    </w:p>
    <w:p>
      <w:pPr>
        <w:wordWrap w:val="0"/>
        <w:topLinePunct/>
        <w:snapToGrid w:val="0"/>
        <w:spacing w:before="120" w:after="120" w:line="360" w:lineRule="auto"/>
        <w:rPr>
          <w:rFonts w:ascii="仿宋" w:hAnsi="仿宋" w:eastAsia="仿宋" w:cs="仿宋"/>
          <w:kern w:val="0"/>
          <w:highlight w:val="none"/>
        </w:rPr>
      </w:pPr>
      <w:r>
        <w:rPr>
          <w:rFonts w:hint="eastAsia" w:ascii="仿宋" w:hAnsi="仿宋" w:eastAsia="仿宋" w:cs="仿宋"/>
          <w:kern w:val="0"/>
          <w:szCs w:val="21"/>
          <w:highlight w:val="none"/>
        </w:rPr>
        <w:t>日期：     年   月   日</w:t>
      </w:r>
      <w:r>
        <w:rPr>
          <w:rFonts w:hint="eastAsia" w:ascii="仿宋" w:hAnsi="仿宋" w:eastAsia="仿宋" w:cs="仿宋"/>
          <w:kern w:val="0"/>
          <w:sz w:val="20"/>
          <w:szCs w:val="21"/>
          <w:highlight w:val="none"/>
        </w:rPr>
        <w:t xml:space="preserve"> </w:t>
      </w:r>
    </w:p>
    <w:p>
      <w:pPr>
        <w:wordWrap w:val="0"/>
        <w:topLinePunct/>
        <w:rPr>
          <w:rFonts w:ascii="仿宋" w:hAnsi="仿宋" w:eastAsia="仿宋" w:cs="仿宋"/>
          <w:kern w:val="0"/>
          <w:sz w:val="36"/>
          <w:highlight w:val="none"/>
        </w:rPr>
      </w:pPr>
      <w:bookmarkStart w:id="125" w:name="_Toc498003956"/>
      <w:r>
        <w:rPr>
          <w:rFonts w:hint="eastAsia" w:ascii="仿宋" w:hAnsi="仿宋" w:eastAsia="仿宋" w:cs="仿宋"/>
          <w:kern w:val="0"/>
          <w:sz w:val="36"/>
          <w:highlight w:val="none"/>
        </w:rPr>
        <w:br w:type="page"/>
      </w:r>
    </w:p>
    <w:p>
      <w:pPr>
        <w:pStyle w:val="2"/>
        <w:keepNext w:val="0"/>
        <w:keepLines w:val="0"/>
        <w:wordWrap w:val="0"/>
        <w:topLinePunct/>
        <w:jc w:val="center"/>
        <w:rPr>
          <w:rFonts w:ascii="仿宋" w:hAnsi="仿宋" w:eastAsia="仿宋" w:cs="仿宋"/>
          <w:kern w:val="0"/>
          <w:sz w:val="36"/>
          <w:highlight w:val="none"/>
        </w:rPr>
      </w:pPr>
      <w:r>
        <w:rPr>
          <w:rFonts w:hint="eastAsia" w:ascii="仿宋" w:hAnsi="仿宋" w:eastAsia="仿宋" w:cs="仿宋"/>
          <w:kern w:val="0"/>
          <w:sz w:val="36"/>
          <w:highlight w:val="none"/>
        </w:rPr>
        <w:t>第四章 项目需求</w:t>
      </w:r>
      <w:bookmarkEnd w:id="125"/>
    </w:p>
    <w:p>
      <w:pPr>
        <w:wordWrap w:val="0"/>
        <w:topLinePunct/>
        <w:snapToGrid w:val="0"/>
        <w:spacing w:line="360" w:lineRule="auto"/>
        <w:ind w:firstLine="422" w:firstLineChars="200"/>
        <w:rPr>
          <w:rFonts w:ascii="仿宋" w:hAnsi="仿宋" w:eastAsia="仿宋" w:cs="仿宋"/>
          <w:b/>
          <w:bCs/>
          <w:kern w:val="0"/>
          <w:szCs w:val="21"/>
          <w:highlight w:val="none"/>
        </w:rPr>
      </w:pPr>
      <w:bookmarkStart w:id="126" w:name="_Toc25124"/>
      <w:bookmarkStart w:id="127" w:name="_Toc498003957"/>
      <w:r>
        <w:rPr>
          <w:rFonts w:hint="eastAsia" w:ascii="仿宋" w:hAnsi="仿宋" w:eastAsia="仿宋" w:cs="仿宋"/>
          <w:b/>
          <w:bCs/>
          <w:kern w:val="0"/>
          <w:szCs w:val="21"/>
          <w:highlight w:val="none"/>
        </w:rPr>
        <w:t>一、项目概况</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1.项目编号：JSDC-G-20240612001</w:t>
      </w:r>
    </w:p>
    <w:p>
      <w:pPr>
        <w:wordWrap w:val="0"/>
        <w:topLinePunct/>
        <w:snapToGrid w:val="0"/>
        <w:spacing w:line="360" w:lineRule="auto"/>
        <w:ind w:firstLine="420" w:firstLineChars="200"/>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2.项目名称：</w:t>
      </w:r>
      <w:r>
        <w:rPr>
          <w:rFonts w:hint="eastAsia" w:ascii="仿宋" w:hAnsi="仿宋" w:eastAsia="仿宋" w:cs="仿宋"/>
          <w:kern w:val="0"/>
          <w:szCs w:val="21"/>
          <w:highlight w:val="none"/>
          <w:lang w:eastAsia="zh-CN"/>
        </w:rPr>
        <w:t>2024-2025年建盛公司燃气表具采购项目</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3.采购方式：竞争性磋商   ☑公开招标   □询价</w:t>
      </w:r>
    </w:p>
    <w:p>
      <w:pPr>
        <w:wordWrap w:val="0"/>
        <w:topLinePunct/>
        <w:snapToGrid w:val="0"/>
        <w:spacing w:line="360" w:lineRule="auto"/>
        <w:ind w:firstLine="420" w:firstLineChars="200"/>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4.预算金额：</w:t>
      </w:r>
      <w:r>
        <w:rPr>
          <w:rFonts w:hint="eastAsia" w:ascii="仿宋" w:hAnsi="仿宋" w:eastAsia="仿宋" w:cs="仿宋"/>
          <w:kern w:val="0"/>
          <w:szCs w:val="21"/>
          <w:highlight w:val="none"/>
          <w:lang w:eastAsia="zh-CN"/>
        </w:rPr>
        <w:t>844000元</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5.本项目设置最高限价：最高限价为</w:t>
      </w:r>
      <w:r>
        <w:rPr>
          <w:rFonts w:hint="eastAsia" w:ascii="仿宋" w:hAnsi="仿宋" w:eastAsia="仿宋" w:cs="仿宋"/>
          <w:kern w:val="0"/>
          <w:szCs w:val="21"/>
          <w:highlight w:val="none"/>
          <w:lang w:eastAsia="zh-CN"/>
        </w:rPr>
        <w:t>844000元</w:t>
      </w:r>
      <w:r>
        <w:rPr>
          <w:rFonts w:hint="eastAsia" w:ascii="仿宋" w:hAnsi="仿宋" w:eastAsia="仿宋" w:cs="仿宋"/>
          <w:kern w:val="0"/>
          <w:szCs w:val="21"/>
          <w:highlight w:val="none"/>
        </w:rPr>
        <w:t>（其中物联网膜式燃气表最高投标单价为250元、机械膜式燃气表最高投标单价为</w:t>
      </w:r>
      <w:r>
        <w:rPr>
          <w:rFonts w:hint="eastAsia" w:ascii="仿宋" w:hAnsi="仿宋" w:eastAsia="仿宋" w:cs="仿宋"/>
          <w:kern w:val="0"/>
          <w:szCs w:val="21"/>
          <w:highlight w:val="none"/>
          <w:lang w:eastAsia="zh-CN"/>
        </w:rPr>
        <w:t>92</w:t>
      </w:r>
      <w:r>
        <w:rPr>
          <w:rFonts w:hint="eastAsia" w:ascii="仿宋" w:hAnsi="仿宋" w:eastAsia="仿宋" w:cs="仿宋"/>
          <w:kern w:val="0"/>
          <w:szCs w:val="21"/>
          <w:highlight w:val="none"/>
        </w:rPr>
        <w:t>元），报价超过最高限价的为无效报价，按照无效响应处理；</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6、采购需求：物联网膜式燃气表约800块，机械膜式燃气表约7000块，实际以甲方实际采购数量为准。具体详见第四章 项目需求。</w:t>
      </w:r>
    </w:p>
    <w:p>
      <w:pPr>
        <w:wordWrap w:val="0"/>
        <w:topLinePunct/>
        <w:snapToGrid w:val="0"/>
        <w:spacing w:line="360" w:lineRule="auto"/>
        <w:ind w:firstLine="420" w:firstLineChars="200"/>
        <w:rPr>
          <w:rFonts w:ascii="仿宋" w:hAnsi="仿宋" w:eastAsia="仿宋" w:cs="仿宋"/>
          <w:b/>
          <w:sz w:val="32"/>
          <w:szCs w:val="32"/>
          <w:highlight w:val="none"/>
        </w:rPr>
      </w:pPr>
      <w:r>
        <w:rPr>
          <w:rFonts w:hint="eastAsia" w:ascii="仿宋" w:hAnsi="仿宋" w:eastAsia="仿宋" w:cs="仿宋"/>
          <w:kern w:val="0"/>
          <w:szCs w:val="21"/>
          <w:highlight w:val="none"/>
        </w:rPr>
        <w:t>7、合同履行期限：</w:t>
      </w:r>
      <w:r>
        <w:rPr>
          <w:rFonts w:hint="eastAsia" w:ascii="仿宋" w:hAnsi="仿宋" w:eastAsia="仿宋" w:cs="仿宋"/>
          <w:kern w:val="0"/>
          <w:szCs w:val="21"/>
          <w:highlight w:val="none"/>
          <w:u w:val="single"/>
        </w:rPr>
        <w:t>合同签订之日起10日历天内</w:t>
      </w:r>
      <w:r>
        <w:rPr>
          <w:rFonts w:hint="eastAsia" w:ascii="仿宋" w:hAnsi="仿宋" w:eastAsia="仿宋" w:cs="仿宋"/>
          <w:kern w:val="0"/>
          <w:szCs w:val="21"/>
          <w:highlight w:val="none"/>
        </w:rPr>
        <w:t>。</w:t>
      </w:r>
    </w:p>
    <w:p>
      <w:pPr>
        <w:wordWrap w:val="0"/>
        <w:topLinePunct/>
        <w:snapToGrid w:val="0"/>
        <w:spacing w:line="360" w:lineRule="auto"/>
        <w:ind w:firstLine="422" w:firstLineChars="200"/>
        <w:rPr>
          <w:rFonts w:ascii="仿宋" w:hAnsi="仿宋" w:eastAsia="仿宋" w:cs="仿宋"/>
          <w:b/>
          <w:bCs/>
          <w:kern w:val="0"/>
          <w:szCs w:val="21"/>
          <w:highlight w:val="none"/>
        </w:rPr>
      </w:pPr>
    </w:p>
    <w:p>
      <w:pPr>
        <w:wordWrap w:val="0"/>
        <w:topLinePunct/>
        <w:snapToGrid w:val="0"/>
        <w:spacing w:line="360" w:lineRule="auto"/>
        <w:ind w:firstLine="422" w:firstLineChars="200"/>
        <w:rPr>
          <w:rFonts w:ascii="仿宋" w:hAnsi="仿宋" w:eastAsia="仿宋" w:cs="仿宋"/>
          <w:b/>
          <w:bCs/>
          <w:kern w:val="0"/>
          <w:szCs w:val="21"/>
          <w:highlight w:val="none"/>
        </w:rPr>
      </w:pPr>
      <w:r>
        <w:rPr>
          <w:rFonts w:hint="eastAsia" w:ascii="仿宋" w:hAnsi="仿宋" w:eastAsia="仿宋" w:cs="仿宋"/>
          <w:b/>
          <w:bCs/>
          <w:kern w:val="0"/>
          <w:szCs w:val="21"/>
          <w:highlight w:val="none"/>
        </w:rPr>
        <w:t>二、技术要求</w:t>
      </w:r>
    </w:p>
    <w:p>
      <w:pPr>
        <w:snapToGrid w:val="0"/>
        <w:spacing w:line="360" w:lineRule="auto"/>
        <w:jc w:val="left"/>
        <w:outlineLvl w:val="0"/>
        <w:rPr>
          <w:rFonts w:ascii="仿宋" w:hAnsi="仿宋" w:eastAsia="仿宋" w:cs="仿宋"/>
          <w:b/>
          <w:szCs w:val="21"/>
          <w:highlight w:val="none"/>
        </w:rPr>
      </w:pPr>
      <w:r>
        <w:rPr>
          <w:rFonts w:hint="eastAsia" w:ascii="仿宋" w:hAnsi="仿宋" w:eastAsia="仿宋" w:cs="仿宋"/>
          <w:b/>
          <w:szCs w:val="21"/>
          <w:highlight w:val="none"/>
        </w:rPr>
        <w:t>1、无线远传膜式燃气表技术要求</w:t>
      </w:r>
    </w:p>
    <w:p>
      <w:pPr>
        <w:adjustRightInd w:val="0"/>
        <w:snapToGrid w:val="0"/>
        <w:spacing w:line="360" w:lineRule="auto"/>
        <w:ind w:firstLine="422" w:firstLineChars="200"/>
        <w:jc w:val="left"/>
        <w:rPr>
          <w:rFonts w:ascii="仿宋" w:hAnsi="仿宋" w:eastAsia="仿宋" w:cs="仿宋"/>
          <w:b/>
          <w:color w:val="000000"/>
          <w:szCs w:val="21"/>
          <w:highlight w:val="none"/>
        </w:rPr>
      </w:pPr>
      <w:r>
        <w:rPr>
          <w:rFonts w:hint="eastAsia" w:ascii="仿宋" w:hAnsi="仿宋" w:eastAsia="仿宋" w:cs="仿宋"/>
          <w:b/>
          <w:color w:val="000000"/>
          <w:szCs w:val="21"/>
          <w:highlight w:val="none"/>
        </w:rPr>
        <w:t>1.1、术语</w:t>
      </w:r>
    </w:p>
    <w:p>
      <w:pPr>
        <w:adjustRightInd w:val="0"/>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kern w:val="0"/>
          <w:szCs w:val="21"/>
          <w:highlight w:val="none"/>
        </w:rPr>
        <w:t>智能燃气表：由基表、微处理器、附加装置等组成，基于中国移动、中国电信、中国联通等公共运营商通信网络，采用</w:t>
      </w:r>
      <w:r>
        <w:rPr>
          <w:rFonts w:hint="eastAsia" w:ascii="仿宋" w:hAnsi="仿宋" w:eastAsia="仿宋" w:cs="仿宋"/>
          <w:szCs w:val="21"/>
          <w:highlight w:val="none"/>
        </w:rPr>
        <w:t>NB-IoT通讯方式对燃气表进行数据读写、参数设置和远程监控。</w:t>
      </w:r>
    </w:p>
    <w:p>
      <w:pPr>
        <w:adjustRightInd w:val="0"/>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窄带物联网（NB-IoT）：NB-IoT是基于3GPP演进的通用陆地无线接入（E-UTRA）技术，使用180KHz的载波传输带宽，支持低功耗设备在广域网的蜂窝数据连接。</w:t>
      </w:r>
    </w:p>
    <w:p>
      <w:pPr>
        <w:adjustRightInd w:val="0"/>
        <w:snapToGrid w:val="0"/>
        <w:spacing w:line="360" w:lineRule="auto"/>
        <w:ind w:firstLine="422" w:firstLineChars="200"/>
        <w:jc w:val="left"/>
        <w:rPr>
          <w:rFonts w:ascii="仿宋" w:hAnsi="仿宋" w:eastAsia="仿宋" w:cs="仿宋"/>
          <w:b/>
          <w:szCs w:val="21"/>
          <w:highlight w:val="none"/>
        </w:rPr>
      </w:pPr>
      <w:r>
        <w:rPr>
          <w:rFonts w:hint="eastAsia" w:ascii="仿宋" w:hAnsi="仿宋" w:eastAsia="仿宋" w:cs="仿宋"/>
          <w:b/>
          <w:szCs w:val="21"/>
          <w:highlight w:val="none"/>
        </w:rPr>
        <w:t>1.2执行标准</w:t>
      </w:r>
    </w:p>
    <w:p>
      <w:pPr>
        <w:adjustRightInd w:val="0"/>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GB/T 6968-2019《膜式燃气表》</w:t>
      </w:r>
    </w:p>
    <w:p>
      <w:pPr>
        <w:adjustRightInd w:val="0"/>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防爆要求遵循GB/T 3836相关本质安全型要求</w:t>
      </w:r>
    </w:p>
    <w:p>
      <w:pPr>
        <w:adjustRightInd w:val="0"/>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T/CGAS 006 - 2019 《基于窄带物联网（NB-IoT）技术的燃气智能抄表系统》</w:t>
      </w:r>
    </w:p>
    <w:p>
      <w:pPr>
        <w:adjustRightInd w:val="0"/>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JJG 577-2012《膜式燃气表检定规程》</w:t>
      </w:r>
    </w:p>
    <w:p>
      <w:pPr>
        <w:adjustRightInd w:val="0"/>
        <w:snapToGrid w:val="0"/>
        <w:spacing w:line="360" w:lineRule="auto"/>
        <w:ind w:firstLine="422" w:firstLineChars="200"/>
        <w:jc w:val="left"/>
        <w:rPr>
          <w:rFonts w:ascii="仿宋" w:hAnsi="仿宋" w:eastAsia="仿宋" w:cs="仿宋"/>
          <w:b/>
          <w:color w:val="000000"/>
          <w:szCs w:val="21"/>
          <w:highlight w:val="none"/>
        </w:rPr>
      </w:pPr>
      <w:r>
        <w:rPr>
          <w:rFonts w:hint="eastAsia" w:ascii="仿宋" w:hAnsi="仿宋" w:eastAsia="仿宋" w:cs="仿宋"/>
          <w:b/>
          <w:szCs w:val="21"/>
          <w:highlight w:val="none"/>
        </w:rPr>
        <w:t>1.3无线远传表使用寿命</w:t>
      </w:r>
    </w:p>
    <w:p>
      <w:pPr>
        <w:adjustRightInd w:val="0"/>
        <w:snapToGrid w:val="0"/>
        <w:spacing w:line="360" w:lineRule="auto"/>
        <w:ind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本标准约定</w:t>
      </w:r>
      <w:r>
        <w:rPr>
          <w:rFonts w:hint="eastAsia" w:ascii="仿宋" w:hAnsi="仿宋" w:eastAsia="仿宋" w:cs="仿宋"/>
          <w:kern w:val="0"/>
          <w:szCs w:val="21"/>
          <w:highlight w:val="none"/>
        </w:rPr>
        <w:t>无线远传表</w:t>
      </w:r>
      <w:r>
        <w:rPr>
          <w:rFonts w:hint="eastAsia" w:ascii="仿宋" w:hAnsi="仿宋" w:eastAsia="仿宋" w:cs="仿宋"/>
          <w:color w:val="000000"/>
          <w:szCs w:val="21"/>
          <w:highlight w:val="none"/>
        </w:rPr>
        <w:t>的正常使用生命周期必须大于十年。</w:t>
      </w:r>
    </w:p>
    <w:p>
      <w:pPr>
        <w:adjustRightInd w:val="0"/>
        <w:snapToGrid w:val="0"/>
        <w:spacing w:line="360" w:lineRule="auto"/>
        <w:ind w:firstLine="420" w:firstLineChars="200"/>
        <w:jc w:val="left"/>
        <w:rPr>
          <w:rFonts w:ascii="仿宋" w:hAnsi="仿宋" w:eastAsia="仿宋" w:cs="仿宋"/>
          <w:szCs w:val="21"/>
          <w:highlight w:val="none"/>
        </w:rPr>
      </w:pPr>
    </w:p>
    <w:p>
      <w:pPr>
        <w:adjustRightInd w:val="0"/>
        <w:snapToGrid w:val="0"/>
        <w:spacing w:line="360" w:lineRule="auto"/>
        <w:ind w:firstLine="422" w:firstLineChars="200"/>
        <w:jc w:val="left"/>
        <w:rPr>
          <w:rFonts w:ascii="仿宋" w:hAnsi="仿宋" w:eastAsia="仿宋" w:cs="仿宋"/>
          <w:b/>
          <w:color w:val="000000"/>
          <w:szCs w:val="21"/>
          <w:highlight w:val="none"/>
        </w:rPr>
      </w:pPr>
      <w:r>
        <w:rPr>
          <w:rFonts w:hint="eastAsia" w:ascii="仿宋" w:hAnsi="仿宋" w:eastAsia="仿宋" w:cs="仿宋"/>
          <w:b/>
          <w:color w:val="000000"/>
          <w:szCs w:val="21"/>
          <w:highlight w:val="none"/>
        </w:rPr>
        <w:t>（1）性能要求</w:t>
      </w:r>
    </w:p>
    <w:p>
      <w:pPr>
        <w:adjustRightInd w:val="0"/>
        <w:snapToGrid w:val="0"/>
        <w:spacing w:line="360" w:lineRule="auto"/>
        <w:ind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以下为本次招标燃气表的控制器相关性能要求：</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9"/>
        <w:gridCol w:w="1379"/>
        <w:gridCol w:w="2262"/>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基表</w:t>
            </w:r>
          </w:p>
        </w:tc>
        <w:tc>
          <w:tcPr>
            <w:tcW w:w="809" w:type="pct"/>
            <w:vAlign w:val="center"/>
          </w:tcPr>
          <w:p>
            <w:pPr>
              <w:adjustRightInd w:val="0"/>
              <w:snapToGrid w:val="0"/>
              <w:spacing w:line="440" w:lineRule="exact"/>
              <w:jc w:val="center"/>
              <w:rPr>
                <w:rFonts w:ascii="仿宋" w:hAnsi="仿宋" w:eastAsia="仿宋" w:cs="仿宋"/>
                <w:szCs w:val="21"/>
                <w:highlight w:val="none"/>
              </w:rPr>
            </w:pPr>
            <w:r>
              <w:rPr>
                <w:rFonts w:hint="eastAsia" w:ascii="仿宋" w:hAnsi="仿宋" w:eastAsia="仿宋" w:cs="仿宋"/>
                <w:szCs w:val="21"/>
                <w:highlight w:val="none"/>
              </w:rPr>
              <w:t>单位</w:t>
            </w:r>
          </w:p>
        </w:tc>
        <w:tc>
          <w:tcPr>
            <w:tcW w:w="1327" w:type="pct"/>
            <w:vAlign w:val="center"/>
          </w:tcPr>
          <w:p>
            <w:pPr>
              <w:adjustRightInd w:val="0"/>
              <w:snapToGrid w:val="0"/>
              <w:spacing w:line="440" w:lineRule="exact"/>
              <w:jc w:val="center"/>
              <w:rPr>
                <w:rFonts w:ascii="仿宋" w:hAnsi="仿宋" w:eastAsia="仿宋" w:cs="仿宋"/>
                <w:szCs w:val="21"/>
                <w:highlight w:val="none"/>
              </w:rPr>
            </w:pPr>
            <w:r>
              <w:rPr>
                <w:rFonts w:hint="eastAsia" w:ascii="仿宋" w:hAnsi="仿宋" w:eastAsia="仿宋" w:cs="仿宋"/>
                <w:szCs w:val="21"/>
                <w:highlight w:val="none"/>
              </w:rPr>
              <w:t>G1.6</w:t>
            </w:r>
          </w:p>
        </w:tc>
        <w:tc>
          <w:tcPr>
            <w:tcW w:w="1174" w:type="pct"/>
            <w:vAlign w:val="center"/>
          </w:tcPr>
          <w:p>
            <w:pPr>
              <w:adjustRightInd w:val="0"/>
              <w:snapToGrid w:val="0"/>
              <w:spacing w:line="440" w:lineRule="exact"/>
              <w:jc w:val="center"/>
              <w:rPr>
                <w:rFonts w:ascii="仿宋" w:hAnsi="仿宋" w:eastAsia="仿宋" w:cs="仿宋"/>
                <w:szCs w:val="21"/>
                <w:highlight w:val="none"/>
              </w:rPr>
            </w:pPr>
            <w:r>
              <w:rPr>
                <w:rFonts w:hint="eastAsia" w:ascii="仿宋" w:hAnsi="仿宋" w:eastAsia="仿宋" w:cs="仿宋"/>
                <w:szCs w:val="21"/>
                <w:highlight w:val="none"/>
              </w:rPr>
              <w:t>G2.5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公称流量</w:t>
            </w:r>
          </w:p>
        </w:tc>
        <w:tc>
          <w:tcPr>
            <w:tcW w:w="80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m³/h</w:t>
            </w:r>
          </w:p>
        </w:tc>
        <w:tc>
          <w:tcPr>
            <w:tcW w:w="1327" w:type="pct"/>
            <w:vAlign w:val="center"/>
          </w:tcPr>
          <w:p>
            <w:pPr>
              <w:adjustRightInd w:val="0"/>
              <w:snapToGrid w:val="0"/>
              <w:spacing w:line="440" w:lineRule="exact"/>
              <w:jc w:val="center"/>
              <w:rPr>
                <w:rFonts w:ascii="仿宋" w:hAnsi="仿宋" w:eastAsia="仿宋" w:cs="仿宋"/>
                <w:szCs w:val="21"/>
                <w:highlight w:val="none"/>
              </w:rPr>
            </w:pPr>
            <w:r>
              <w:rPr>
                <w:rFonts w:hint="eastAsia" w:ascii="仿宋" w:hAnsi="仿宋" w:eastAsia="仿宋" w:cs="仿宋"/>
                <w:szCs w:val="21"/>
                <w:highlight w:val="none"/>
              </w:rPr>
              <w:t>1.6</w:t>
            </w:r>
          </w:p>
        </w:tc>
        <w:tc>
          <w:tcPr>
            <w:tcW w:w="1174"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最大流量</w:t>
            </w:r>
          </w:p>
        </w:tc>
        <w:tc>
          <w:tcPr>
            <w:tcW w:w="80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m³/h</w:t>
            </w:r>
          </w:p>
        </w:tc>
        <w:tc>
          <w:tcPr>
            <w:tcW w:w="1327" w:type="pct"/>
            <w:vAlign w:val="center"/>
          </w:tcPr>
          <w:p>
            <w:pPr>
              <w:adjustRightInd w:val="0"/>
              <w:snapToGrid w:val="0"/>
              <w:spacing w:line="440" w:lineRule="exact"/>
              <w:jc w:val="center"/>
              <w:rPr>
                <w:rFonts w:ascii="仿宋" w:hAnsi="仿宋" w:eastAsia="仿宋" w:cs="仿宋"/>
                <w:szCs w:val="21"/>
                <w:highlight w:val="none"/>
              </w:rPr>
            </w:pPr>
            <w:r>
              <w:rPr>
                <w:rFonts w:hint="eastAsia" w:ascii="仿宋" w:hAnsi="仿宋" w:eastAsia="仿宋" w:cs="仿宋"/>
                <w:szCs w:val="21"/>
                <w:highlight w:val="none"/>
              </w:rPr>
              <w:t>2.5</w:t>
            </w:r>
          </w:p>
        </w:tc>
        <w:tc>
          <w:tcPr>
            <w:tcW w:w="1174"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最小流量</w:t>
            </w:r>
          </w:p>
        </w:tc>
        <w:tc>
          <w:tcPr>
            <w:tcW w:w="80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m³/h</w:t>
            </w:r>
          </w:p>
        </w:tc>
        <w:tc>
          <w:tcPr>
            <w:tcW w:w="1327" w:type="pct"/>
            <w:vAlign w:val="center"/>
          </w:tcPr>
          <w:p>
            <w:pPr>
              <w:adjustRightInd w:val="0"/>
              <w:snapToGrid w:val="0"/>
              <w:spacing w:line="440" w:lineRule="exact"/>
              <w:jc w:val="center"/>
              <w:rPr>
                <w:rFonts w:ascii="仿宋" w:hAnsi="仿宋" w:eastAsia="仿宋" w:cs="仿宋"/>
                <w:szCs w:val="21"/>
                <w:highlight w:val="none"/>
              </w:rPr>
            </w:pPr>
            <w:r>
              <w:rPr>
                <w:rFonts w:hint="eastAsia" w:ascii="仿宋" w:hAnsi="仿宋" w:eastAsia="仿宋" w:cs="仿宋"/>
                <w:szCs w:val="21"/>
                <w:highlight w:val="none"/>
              </w:rPr>
              <w:t>0.016</w:t>
            </w:r>
          </w:p>
        </w:tc>
        <w:tc>
          <w:tcPr>
            <w:tcW w:w="1174"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准确度等级</w:t>
            </w:r>
          </w:p>
        </w:tc>
        <w:tc>
          <w:tcPr>
            <w:tcW w:w="80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级</w:t>
            </w:r>
          </w:p>
        </w:tc>
        <w:tc>
          <w:tcPr>
            <w:tcW w:w="2501" w:type="pct"/>
            <w:gridSpan w:val="2"/>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基本误差限</w:t>
            </w:r>
          </w:p>
        </w:tc>
        <w:tc>
          <w:tcPr>
            <w:tcW w:w="809" w:type="pct"/>
            <w:vAlign w:val="center"/>
          </w:tcPr>
          <w:p>
            <w:pPr>
              <w:adjustRightInd w:val="0"/>
              <w:snapToGrid w:val="0"/>
              <w:spacing w:line="440" w:lineRule="exact"/>
              <w:jc w:val="center"/>
              <w:rPr>
                <w:rFonts w:ascii="仿宋" w:hAnsi="仿宋" w:eastAsia="仿宋" w:cs="仿宋"/>
                <w:b/>
                <w:szCs w:val="21"/>
                <w:highlight w:val="none"/>
              </w:rPr>
            </w:pPr>
          </w:p>
        </w:tc>
        <w:tc>
          <w:tcPr>
            <w:tcW w:w="2501" w:type="pct"/>
            <w:gridSpan w:val="2"/>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Qmin≤Q＜0.1Qmax时±3%</w:t>
            </w:r>
          </w:p>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0.1Qmax≤Q≤Qmax时±1.5%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最大累计量</w:t>
            </w:r>
          </w:p>
        </w:tc>
        <w:tc>
          <w:tcPr>
            <w:tcW w:w="80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m³</w:t>
            </w:r>
          </w:p>
        </w:tc>
        <w:tc>
          <w:tcPr>
            <w:tcW w:w="2501" w:type="pct"/>
            <w:gridSpan w:val="2"/>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99999.999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9" w:type="pct"/>
            <w:vAlign w:val="center"/>
          </w:tcPr>
          <w:p>
            <w:pPr>
              <w:adjustRightInd w:val="0"/>
              <w:snapToGrid w:val="0"/>
              <w:spacing w:line="440" w:lineRule="exact"/>
              <w:jc w:val="center"/>
              <w:rPr>
                <w:rFonts w:ascii="仿宋" w:hAnsi="仿宋" w:eastAsia="仿宋" w:cs="仿宋"/>
                <w:szCs w:val="21"/>
                <w:highlight w:val="none"/>
              </w:rPr>
            </w:pPr>
            <w:r>
              <w:rPr>
                <w:rFonts w:hint="eastAsia" w:ascii="仿宋" w:hAnsi="仿宋" w:eastAsia="仿宋" w:cs="仿宋"/>
                <w:szCs w:val="21"/>
                <w:highlight w:val="none"/>
              </w:rPr>
              <w:t>基表材质</w:t>
            </w:r>
          </w:p>
        </w:tc>
        <w:tc>
          <w:tcPr>
            <w:tcW w:w="809" w:type="pct"/>
            <w:vAlign w:val="center"/>
          </w:tcPr>
          <w:p>
            <w:pPr>
              <w:adjustRightInd w:val="0"/>
              <w:snapToGrid w:val="0"/>
              <w:spacing w:line="440" w:lineRule="exact"/>
              <w:jc w:val="center"/>
              <w:rPr>
                <w:rFonts w:ascii="仿宋" w:hAnsi="仿宋" w:eastAsia="仿宋" w:cs="仿宋"/>
                <w:szCs w:val="21"/>
                <w:highlight w:val="none"/>
              </w:rPr>
            </w:pPr>
          </w:p>
        </w:tc>
        <w:tc>
          <w:tcPr>
            <w:tcW w:w="2501" w:type="pct"/>
            <w:gridSpan w:val="2"/>
            <w:vAlign w:val="center"/>
          </w:tcPr>
          <w:p>
            <w:pPr>
              <w:adjustRightInd w:val="0"/>
              <w:snapToGrid w:val="0"/>
              <w:spacing w:line="440" w:lineRule="exact"/>
              <w:jc w:val="center"/>
              <w:rPr>
                <w:rFonts w:ascii="仿宋" w:hAnsi="仿宋" w:eastAsia="仿宋" w:cs="仿宋"/>
                <w:szCs w:val="21"/>
                <w:highlight w:val="none"/>
              </w:rPr>
            </w:pPr>
            <w:r>
              <w:rPr>
                <w:rFonts w:hint="eastAsia" w:ascii="仿宋" w:hAnsi="仿宋" w:eastAsia="仿宋" w:cs="仿宋"/>
                <w:szCs w:val="21"/>
                <w:highlight w:val="none"/>
              </w:rPr>
              <w:t>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最大工作压力</w:t>
            </w:r>
          </w:p>
        </w:tc>
        <w:tc>
          <w:tcPr>
            <w:tcW w:w="80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kPa</w:t>
            </w:r>
          </w:p>
        </w:tc>
        <w:tc>
          <w:tcPr>
            <w:tcW w:w="2501" w:type="pct"/>
            <w:gridSpan w:val="2"/>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总压力损失</w:t>
            </w:r>
          </w:p>
        </w:tc>
        <w:tc>
          <w:tcPr>
            <w:tcW w:w="80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Pa</w:t>
            </w:r>
          </w:p>
        </w:tc>
        <w:tc>
          <w:tcPr>
            <w:tcW w:w="2501" w:type="pct"/>
            <w:gridSpan w:val="2"/>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密封性</w:t>
            </w:r>
          </w:p>
        </w:tc>
        <w:tc>
          <w:tcPr>
            <w:tcW w:w="80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kPa</w:t>
            </w:r>
          </w:p>
        </w:tc>
        <w:tc>
          <w:tcPr>
            <w:tcW w:w="2501" w:type="pct"/>
            <w:gridSpan w:val="2"/>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最大工作压力的1.5倍下不泄漏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防爆标准</w:t>
            </w:r>
          </w:p>
        </w:tc>
        <w:tc>
          <w:tcPr>
            <w:tcW w:w="809" w:type="pct"/>
            <w:vAlign w:val="center"/>
          </w:tcPr>
          <w:p>
            <w:pPr>
              <w:adjustRightInd w:val="0"/>
              <w:snapToGrid w:val="0"/>
              <w:spacing w:line="440" w:lineRule="exact"/>
              <w:jc w:val="center"/>
              <w:rPr>
                <w:rFonts w:ascii="仿宋" w:hAnsi="仿宋" w:eastAsia="仿宋" w:cs="仿宋"/>
                <w:b/>
                <w:szCs w:val="21"/>
                <w:highlight w:val="none"/>
              </w:rPr>
            </w:pPr>
          </w:p>
        </w:tc>
        <w:tc>
          <w:tcPr>
            <w:tcW w:w="2501" w:type="pct"/>
            <w:gridSpan w:val="2"/>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EXib IIBT3 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环境温度</w:t>
            </w:r>
          </w:p>
        </w:tc>
        <w:tc>
          <w:tcPr>
            <w:tcW w:w="80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w:t>
            </w:r>
          </w:p>
        </w:tc>
        <w:tc>
          <w:tcPr>
            <w:tcW w:w="2501" w:type="pct"/>
            <w:gridSpan w:val="2"/>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szCs w:val="21"/>
                <w:highlight w:val="none"/>
              </w:rPr>
            </w:pPr>
            <w:r>
              <w:rPr>
                <w:rFonts w:hint="eastAsia" w:ascii="仿宋" w:hAnsi="仿宋" w:eastAsia="仿宋" w:cs="仿宋"/>
                <w:szCs w:val="21"/>
                <w:highlight w:val="none"/>
              </w:rPr>
              <w:t>环境湿度</w:t>
            </w:r>
          </w:p>
        </w:tc>
        <w:tc>
          <w:tcPr>
            <w:tcW w:w="809" w:type="pct"/>
            <w:vAlign w:val="center"/>
          </w:tcPr>
          <w:p>
            <w:pPr>
              <w:adjustRightInd w:val="0"/>
              <w:snapToGrid w:val="0"/>
              <w:spacing w:line="440" w:lineRule="exact"/>
              <w:jc w:val="center"/>
              <w:rPr>
                <w:rFonts w:ascii="仿宋" w:hAnsi="仿宋" w:eastAsia="仿宋" w:cs="仿宋"/>
                <w:szCs w:val="21"/>
                <w:highlight w:val="none"/>
              </w:rPr>
            </w:pPr>
            <w:r>
              <w:rPr>
                <w:rFonts w:hint="eastAsia" w:ascii="仿宋" w:hAnsi="仿宋" w:eastAsia="仿宋" w:cs="仿宋"/>
                <w:szCs w:val="21"/>
                <w:highlight w:val="none"/>
              </w:rPr>
              <w:t>%RH</w:t>
            </w:r>
          </w:p>
        </w:tc>
        <w:tc>
          <w:tcPr>
            <w:tcW w:w="2501" w:type="pct"/>
            <w:gridSpan w:val="2"/>
            <w:vAlign w:val="center"/>
          </w:tcPr>
          <w:p>
            <w:pPr>
              <w:adjustRightInd w:val="0"/>
              <w:snapToGrid w:val="0"/>
              <w:spacing w:line="440" w:lineRule="exact"/>
              <w:jc w:val="center"/>
              <w:rPr>
                <w:rFonts w:ascii="仿宋" w:hAnsi="仿宋" w:eastAsia="仿宋" w:cs="仿宋"/>
                <w:szCs w:val="21"/>
                <w:highlight w:val="none"/>
              </w:rPr>
            </w:pPr>
            <w:r>
              <w:rPr>
                <w:rFonts w:hint="eastAsia" w:ascii="仿宋" w:hAnsi="仿宋" w:eastAsia="仿宋" w:cs="仿宋"/>
                <w:color w:val="000000"/>
                <w:szCs w:val="21"/>
                <w:highlight w:val="none"/>
              </w:rPr>
              <w:t>≤93%RH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介质条件</w:t>
            </w:r>
          </w:p>
        </w:tc>
        <w:tc>
          <w:tcPr>
            <w:tcW w:w="809" w:type="pct"/>
            <w:vAlign w:val="center"/>
          </w:tcPr>
          <w:p>
            <w:pPr>
              <w:adjustRightInd w:val="0"/>
              <w:snapToGrid w:val="0"/>
              <w:spacing w:line="440" w:lineRule="exact"/>
              <w:jc w:val="center"/>
              <w:rPr>
                <w:rFonts w:ascii="仿宋" w:hAnsi="仿宋" w:eastAsia="仿宋" w:cs="仿宋"/>
                <w:b/>
                <w:szCs w:val="21"/>
                <w:highlight w:val="none"/>
              </w:rPr>
            </w:pPr>
          </w:p>
        </w:tc>
        <w:tc>
          <w:tcPr>
            <w:tcW w:w="2501" w:type="pct"/>
            <w:gridSpan w:val="2"/>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各类燃气、空气、无腐蚀性气体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供电方式</w:t>
            </w:r>
          </w:p>
        </w:tc>
        <w:tc>
          <w:tcPr>
            <w:tcW w:w="809" w:type="pct"/>
            <w:vAlign w:val="center"/>
          </w:tcPr>
          <w:p>
            <w:pPr>
              <w:adjustRightInd w:val="0"/>
              <w:snapToGrid w:val="0"/>
              <w:spacing w:line="440" w:lineRule="exact"/>
              <w:jc w:val="center"/>
              <w:rPr>
                <w:rFonts w:ascii="仿宋" w:hAnsi="仿宋" w:eastAsia="仿宋" w:cs="仿宋"/>
                <w:b/>
                <w:szCs w:val="21"/>
                <w:highlight w:val="none"/>
              </w:rPr>
            </w:pPr>
          </w:p>
        </w:tc>
        <w:tc>
          <w:tcPr>
            <w:tcW w:w="2501" w:type="pct"/>
            <w:gridSpan w:val="2"/>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碱性电池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电池使用年限</w:t>
            </w:r>
          </w:p>
        </w:tc>
        <w:tc>
          <w:tcPr>
            <w:tcW w:w="809" w:type="pct"/>
            <w:vAlign w:val="center"/>
          </w:tcPr>
          <w:p>
            <w:pPr>
              <w:adjustRightInd w:val="0"/>
              <w:snapToGrid w:val="0"/>
              <w:spacing w:line="440" w:lineRule="exact"/>
              <w:jc w:val="center"/>
              <w:rPr>
                <w:rFonts w:ascii="仿宋" w:hAnsi="仿宋" w:eastAsia="仿宋" w:cs="仿宋"/>
                <w:b/>
                <w:szCs w:val="21"/>
                <w:highlight w:val="none"/>
              </w:rPr>
            </w:pPr>
          </w:p>
        </w:tc>
        <w:tc>
          <w:tcPr>
            <w:tcW w:w="2501" w:type="pct"/>
            <w:gridSpan w:val="2"/>
            <w:vAlign w:val="center"/>
          </w:tcPr>
          <w:p>
            <w:pPr>
              <w:adjustRightInd w:val="0"/>
              <w:snapToGrid w:val="0"/>
              <w:spacing w:line="440" w:lineRule="exact"/>
              <w:jc w:val="center"/>
              <w:rPr>
                <w:rFonts w:ascii="仿宋" w:hAnsi="仿宋" w:eastAsia="仿宋" w:cs="仿宋"/>
                <w:szCs w:val="21"/>
                <w:highlight w:val="none"/>
              </w:rPr>
            </w:pPr>
            <w:r>
              <w:rPr>
                <w:rFonts w:hint="eastAsia" w:ascii="仿宋" w:hAnsi="仿宋" w:eastAsia="仿宋" w:cs="仿宋"/>
                <w:szCs w:val="21"/>
                <w:highlight w:val="none"/>
              </w:rPr>
              <w:t>四节5号碱性电池，使用寿命≥1年，</w:t>
            </w:r>
          </w:p>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方便更换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采样方式</w:t>
            </w:r>
          </w:p>
        </w:tc>
        <w:tc>
          <w:tcPr>
            <w:tcW w:w="809" w:type="pct"/>
            <w:vAlign w:val="center"/>
          </w:tcPr>
          <w:p>
            <w:pPr>
              <w:adjustRightInd w:val="0"/>
              <w:snapToGrid w:val="0"/>
              <w:spacing w:line="440" w:lineRule="exact"/>
              <w:jc w:val="center"/>
              <w:rPr>
                <w:rFonts w:ascii="仿宋" w:hAnsi="仿宋" w:eastAsia="仿宋" w:cs="仿宋"/>
                <w:b/>
                <w:szCs w:val="21"/>
                <w:highlight w:val="none"/>
              </w:rPr>
            </w:pPr>
          </w:p>
        </w:tc>
        <w:tc>
          <w:tcPr>
            <w:tcW w:w="2501" w:type="pct"/>
            <w:gridSpan w:val="2"/>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脉冲取样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显示方式</w:t>
            </w:r>
          </w:p>
        </w:tc>
        <w:tc>
          <w:tcPr>
            <w:tcW w:w="809" w:type="pct"/>
            <w:vAlign w:val="center"/>
          </w:tcPr>
          <w:p>
            <w:pPr>
              <w:adjustRightInd w:val="0"/>
              <w:snapToGrid w:val="0"/>
              <w:spacing w:line="440" w:lineRule="exact"/>
              <w:jc w:val="center"/>
              <w:rPr>
                <w:rFonts w:ascii="仿宋" w:hAnsi="仿宋" w:eastAsia="仿宋" w:cs="仿宋"/>
                <w:b/>
                <w:szCs w:val="21"/>
                <w:highlight w:val="none"/>
              </w:rPr>
            </w:pPr>
          </w:p>
        </w:tc>
        <w:tc>
          <w:tcPr>
            <w:tcW w:w="2501" w:type="pct"/>
            <w:gridSpan w:val="2"/>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机械显示和液晶显示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阀门控制</w:t>
            </w:r>
          </w:p>
        </w:tc>
        <w:tc>
          <w:tcPr>
            <w:tcW w:w="809" w:type="pct"/>
            <w:vAlign w:val="center"/>
          </w:tcPr>
          <w:p>
            <w:pPr>
              <w:adjustRightInd w:val="0"/>
              <w:snapToGrid w:val="0"/>
              <w:spacing w:line="440" w:lineRule="exact"/>
              <w:jc w:val="center"/>
              <w:rPr>
                <w:rFonts w:ascii="仿宋" w:hAnsi="仿宋" w:eastAsia="仿宋" w:cs="仿宋"/>
                <w:b/>
                <w:szCs w:val="21"/>
                <w:highlight w:val="none"/>
              </w:rPr>
            </w:pPr>
          </w:p>
        </w:tc>
        <w:tc>
          <w:tcPr>
            <w:tcW w:w="2501" w:type="pct"/>
            <w:gridSpan w:val="2"/>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支持远程阀控，可实现不同权限阀门控制，包括普通关阀，权限关阀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阀门可靠性</w:t>
            </w:r>
          </w:p>
        </w:tc>
        <w:tc>
          <w:tcPr>
            <w:tcW w:w="809" w:type="pct"/>
            <w:vAlign w:val="center"/>
          </w:tcPr>
          <w:p>
            <w:pPr>
              <w:adjustRightInd w:val="0"/>
              <w:snapToGrid w:val="0"/>
              <w:spacing w:line="440" w:lineRule="exact"/>
              <w:jc w:val="center"/>
              <w:rPr>
                <w:rFonts w:ascii="仿宋" w:hAnsi="仿宋" w:eastAsia="仿宋" w:cs="仿宋"/>
                <w:b/>
                <w:szCs w:val="21"/>
                <w:highlight w:val="none"/>
              </w:rPr>
            </w:pPr>
          </w:p>
        </w:tc>
        <w:tc>
          <w:tcPr>
            <w:tcW w:w="2501" w:type="pct"/>
            <w:gridSpan w:val="2"/>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连续开关次数不小于10000次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关阀时间</w:t>
            </w:r>
          </w:p>
        </w:tc>
        <w:tc>
          <w:tcPr>
            <w:tcW w:w="80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S</w:t>
            </w:r>
          </w:p>
        </w:tc>
        <w:tc>
          <w:tcPr>
            <w:tcW w:w="2501" w:type="pct"/>
            <w:gridSpan w:val="2"/>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时钟误差</w:t>
            </w:r>
          </w:p>
        </w:tc>
        <w:tc>
          <w:tcPr>
            <w:tcW w:w="80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s/天</w:t>
            </w:r>
          </w:p>
        </w:tc>
        <w:tc>
          <w:tcPr>
            <w:tcW w:w="2501" w:type="pct"/>
            <w:gridSpan w:val="2"/>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通讯方式</w:t>
            </w:r>
          </w:p>
        </w:tc>
        <w:tc>
          <w:tcPr>
            <w:tcW w:w="809" w:type="pct"/>
            <w:vAlign w:val="center"/>
          </w:tcPr>
          <w:p>
            <w:pPr>
              <w:adjustRightInd w:val="0"/>
              <w:snapToGrid w:val="0"/>
              <w:spacing w:line="440" w:lineRule="exact"/>
              <w:jc w:val="center"/>
              <w:rPr>
                <w:rFonts w:ascii="仿宋" w:hAnsi="仿宋" w:eastAsia="仿宋" w:cs="仿宋"/>
                <w:b/>
                <w:szCs w:val="21"/>
                <w:highlight w:val="none"/>
              </w:rPr>
            </w:pPr>
          </w:p>
        </w:tc>
        <w:tc>
          <w:tcPr>
            <w:tcW w:w="2501" w:type="pct"/>
            <w:gridSpan w:val="2"/>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NB-IoT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抄表成功率</w:t>
            </w:r>
          </w:p>
        </w:tc>
        <w:tc>
          <w:tcPr>
            <w:tcW w:w="809" w:type="pct"/>
            <w:vAlign w:val="center"/>
          </w:tcPr>
          <w:p>
            <w:pPr>
              <w:adjustRightInd w:val="0"/>
              <w:snapToGrid w:val="0"/>
              <w:spacing w:line="440" w:lineRule="exact"/>
              <w:jc w:val="center"/>
              <w:rPr>
                <w:rFonts w:ascii="仿宋" w:hAnsi="仿宋" w:eastAsia="仿宋" w:cs="仿宋"/>
                <w:b/>
                <w:szCs w:val="21"/>
                <w:highlight w:val="none"/>
              </w:rPr>
            </w:pPr>
          </w:p>
        </w:tc>
        <w:tc>
          <w:tcPr>
            <w:tcW w:w="2501" w:type="pct"/>
            <w:gridSpan w:val="2"/>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数据抄读准确率</w:t>
            </w:r>
          </w:p>
        </w:tc>
        <w:tc>
          <w:tcPr>
            <w:tcW w:w="809" w:type="pct"/>
            <w:vAlign w:val="center"/>
          </w:tcPr>
          <w:p>
            <w:pPr>
              <w:adjustRightInd w:val="0"/>
              <w:snapToGrid w:val="0"/>
              <w:spacing w:line="440" w:lineRule="exact"/>
              <w:jc w:val="center"/>
              <w:rPr>
                <w:rFonts w:ascii="仿宋" w:hAnsi="仿宋" w:eastAsia="仿宋" w:cs="仿宋"/>
                <w:b/>
                <w:szCs w:val="21"/>
                <w:highlight w:val="none"/>
              </w:rPr>
            </w:pPr>
          </w:p>
        </w:tc>
        <w:tc>
          <w:tcPr>
            <w:tcW w:w="2501" w:type="pct"/>
            <w:gridSpan w:val="2"/>
            <w:vAlign w:val="center"/>
          </w:tcPr>
          <w:p>
            <w:pPr>
              <w:adjustRightInd w:val="0"/>
              <w:snapToGrid w:val="0"/>
              <w:spacing w:line="440" w:lineRule="exact"/>
              <w:jc w:val="center"/>
              <w:rPr>
                <w:rFonts w:ascii="仿宋" w:hAnsi="仿宋" w:eastAsia="仿宋" w:cs="仿宋"/>
                <w:b/>
                <w:szCs w:val="21"/>
                <w:highlight w:val="none"/>
              </w:rPr>
            </w:pPr>
            <w:r>
              <w:rPr>
                <w:rFonts w:hint="eastAsia" w:ascii="仿宋" w:hAnsi="仿宋" w:eastAsia="仿宋" w:cs="仿宋"/>
                <w:szCs w:val="21"/>
                <w:highlight w:val="none"/>
              </w:rPr>
              <w:t>≥99.9%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szCs w:val="21"/>
                <w:highlight w:val="none"/>
              </w:rPr>
            </w:pPr>
            <w:r>
              <w:rPr>
                <w:rFonts w:hint="eastAsia" w:ascii="仿宋" w:hAnsi="仿宋" w:eastAsia="仿宋" w:cs="仿宋"/>
                <w:szCs w:val="21"/>
                <w:highlight w:val="none"/>
              </w:rPr>
              <w:t>使用寿命</w:t>
            </w:r>
          </w:p>
        </w:tc>
        <w:tc>
          <w:tcPr>
            <w:tcW w:w="809" w:type="pct"/>
            <w:vAlign w:val="center"/>
          </w:tcPr>
          <w:p>
            <w:pPr>
              <w:adjustRightInd w:val="0"/>
              <w:snapToGrid w:val="0"/>
              <w:spacing w:line="440" w:lineRule="exact"/>
              <w:jc w:val="center"/>
              <w:rPr>
                <w:rFonts w:ascii="仿宋" w:hAnsi="仿宋" w:eastAsia="仿宋" w:cs="仿宋"/>
                <w:b/>
                <w:szCs w:val="21"/>
                <w:highlight w:val="none"/>
              </w:rPr>
            </w:pPr>
          </w:p>
        </w:tc>
        <w:tc>
          <w:tcPr>
            <w:tcW w:w="2501" w:type="pct"/>
            <w:gridSpan w:val="2"/>
            <w:vAlign w:val="center"/>
          </w:tcPr>
          <w:p>
            <w:pPr>
              <w:adjustRightInd w:val="0"/>
              <w:snapToGrid w:val="0"/>
              <w:spacing w:line="440" w:lineRule="exact"/>
              <w:jc w:val="center"/>
              <w:rPr>
                <w:rFonts w:ascii="仿宋" w:hAnsi="仿宋" w:eastAsia="仿宋" w:cs="仿宋"/>
                <w:szCs w:val="21"/>
                <w:highlight w:val="none"/>
              </w:rPr>
            </w:pPr>
            <w:r>
              <w:rPr>
                <w:rFonts w:hint="eastAsia" w:ascii="仿宋" w:hAnsi="仿宋" w:eastAsia="仿宋" w:cs="仿宋"/>
                <w:szCs w:val="21"/>
                <w:highlight w:val="none"/>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szCs w:val="21"/>
                <w:highlight w:val="none"/>
              </w:rPr>
            </w:pPr>
            <w:r>
              <w:rPr>
                <w:rFonts w:hint="eastAsia" w:ascii="仿宋" w:hAnsi="仿宋" w:eastAsia="仿宋" w:cs="仿宋"/>
                <w:szCs w:val="21"/>
                <w:highlight w:val="none"/>
              </w:rPr>
              <w:t>数据上传频率</w:t>
            </w:r>
          </w:p>
        </w:tc>
        <w:tc>
          <w:tcPr>
            <w:tcW w:w="809" w:type="pct"/>
            <w:vAlign w:val="center"/>
          </w:tcPr>
          <w:p>
            <w:pPr>
              <w:adjustRightInd w:val="0"/>
              <w:snapToGrid w:val="0"/>
              <w:spacing w:line="440" w:lineRule="exact"/>
              <w:jc w:val="center"/>
              <w:rPr>
                <w:rFonts w:ascii="仿宋" w:hAnsi="仿宋" w:eastAsia="仿宋" w:cs="仿宋"/>
                <w:b/>
                <w:szCs w:val="21"/>
                <w:highlight w:val="none"/>
              </w:rPr>
            </w:pPr>
          </w:p>
        </w:tc>
        <w:tc>
          <w:tcPr>
            <w:tcW w:w="2501" w:type="pct"/>
            <w:gridSpan w:val="2"/>
            <w:vAlign w:val="center"/>
          </w:tcPr>
          <w:p>
            <w:pPr>
              <w:adjustRightInd w:val="0"/>
              <w:snapToGrid w:val="0"/>
              <w:spacing w:line="440" w:lineRule="exact"/>
              <w:jc w:val="center"/>
              <w:rPr>
                <w:rFonts w:ascii="仿宋" w:hAnsi="仿宋" w:eastAsia="仿宋" w:cs="仿宋"/>
                <w:szCs w:val="21"/>
                <w:highlight w:val="none"/>
              </w:rPr>
            </w:pPr>
            <w:r>
              <w:rPr>
                <w:rFonts w:hint="eastAsia" w:ascii="仿宋" w:hAnsi="仿宋" w:eastAsia="仿宋" w:cs="仿宋"/>
                <w:szCs w:val="21"/>
                <w:highlight w:val="none"/>
              </w:rPr>
              <w:t>最大1次/天（可设）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pct"/>
            <w:vAlign w:val="center"/>
          </w:tcPr>
          <w:p>
            <w:pPr>
              <w:adjustRightInd w:val="0"/>
              <w:snapToGrid w:val="0"/>
              <w:spacing w:line="440" w:lineRule="exact"/>
              <w:jc w:val="center"/>
              <w:rPr>
                <w:rFonts w:ascii="仿宋" w:hAnsi="仿宋" w:eastAsia="仿宋" w:cs="仿宋"/>
                <w:szCs w:val="21"/>
                <w:highlight w:val="none"/>
              </w:rPr>
            </w:pPr>
            <w:r>
              <w:rPr>
                <w:rFonts w:hint="eastAsia" w:ascii="仿宋" w:hAnsi="仿宋" w:eastAsia="仿宋" w:cs="仿宋"/>
                <w:szCs w:val="21"/>
                <w:highlight w:val="none"/>
              </w:rPr>
              <w:t>报警器接口</w:t>
            </w:r>
          </w:p>
        </w:tc>
        <w:tc>
          <w:tcPr>
            <w:tcW w:w="809" w:type="pct"/>
            <w:vAlign w:val="center"/>
          </w:tcPr>
          <w:p>
            <w:pPr>
              <w:adjustRightInd w:val="0"/>
              <w:snapToGrid w:val="0"/>
              <w:spacing w:line="440" w:lineRule="exact"/>
              <w:jc w:val="center"/>
              <w:rPr>
                <w:rFonts w:ascii="仿宋" w:hAnsi="仿宋" w:eastAsia="仿宋" w:cs="仿宋"/>
                <w:b/>
                <w:szCs w:val="21"/>
                <w:highlight w:val="none"/>
              </w:rPr>
            </w:pPr>
          </w:p>
        </w:tc>
        <w:tc>
          <w:tcPr>
            <w:tcW w:w="2501" w:type="pct"/>
            <w:gridSpan w:val="2"/>
            <w:vAlign w:val="center"/>
          </w:tcPr>
          <w:p>
            <w:pPr>
              <w:adjustRightInd w:val="0"/>
              <w:snapToGrid w:val="0"/>
              <w:spacing w:line="440" w:lineRule="exact"/>
              <w:jc w:val="center"/>
              <w:rPr>
                <w:rFonts w:ascii="仿宋" w:hAnsi="仿宋" w:eastAsia="仿宋" w:cs="仿宋"/>
                <w:szCs w:val="21"/>
                <w:highlight w:val="none"/>
              </w:rPr>
            </w:pPr>
            <w:r>
              <w:rPr>
                <w:rFonts w:hint="eastAsia" w:ascii="仿宋" w:hAnsi="仿宋" w:eastAsia="仿宋" w:cs="仿宋"/>
                <w:szCs w:val="21"/>
                <w:highlight w:val="none"/>
              </w:rPr>
              <w:t>控制器具备报警器接口，可支持报警器泄漏报警联动关阀功能</w:t>
            </w:r>
          </w:p>
        </w:tc>
      </w:tr>
    </w:tbl>
    <w:p>
      <w:pPr>
        <w:pStyle w:val="25"/>
        <w:ind w:left="420"/>
        <w:rPr>
          <w:rFonts w:ascii="仿宋" w:hAnsi="仿宋" w:eastAsia="仿宋" w:cs="仿宋"/>
          <w:sz w:val="21"/>
          <w:szCs w:val="21"/>
          <w:highlight w:val="none"/>
        </w:rPr>
      </w:pPr>
    </w:p>
    <w:p>
      <w:pPr>
        <w:adjustRightInd w:val="0"/>
        <w:snapToGrid w:val="0"/>
        <w:spacing w:line="360" w:lineRule="auto"/>
        <w:ind w:firstLine="422" w:firstLineChars="200"/>
        <w:jc w:val="left"/>
        <w:rPr>
          <w:rFonts w:ascii="仿宋" w:hAnsi="仿宋" w:eastAsia="仿宋" w:cs="仿宋"/>
          <w:b/>
          <w:color w:val="000000"/>
          <w:szCs w:val="21"/>
          <w:highlight w:val="none"/>
        </w:rPr>
      </w:pPr>
      <w:r>
        <w:rPr>
          <w:rFonts w:hint="eastAsia" w:ascii="仿宋" w:hAnsi="仿宋" w:eastAsia="仿宋" w:cs="仿宋"/>
          <w:b/>
          <w:color w:val="000000"/>
          <w:szCs w:val="21"/>
          <w:highlight w:val="none"/>
        </w:rPr>
        <w:t>（2）功能要求</w:t>
      </w:r>
    </w:p>
    <w:p>
      <w:pPr>
        <w:numPr>
          <w:ilvl w:val="0"/>
          <w:numId w:val="2"/>
        </w:numPr>
        <w:adjustRightInd w:val="0"/>
        <w:snapToGrid w:val="0"/>
        <w:spacing w:line="360" w:lineRule="auto"/>
        <w:ind w:left="0" w:firstLine="422" w:firstLineChars="200"/>
        <w:jc w:val="left"/>
        <w:rPr>
          <w:rFonts w:ascii="仿宋" w:hAnsi="仿宋" w:eastAsia="仿宋" w:cs="仿宋"/>
          <w:b/>
          <w:color w:val="000000"/>
          <w:szCs w:val="21"/>
          <w:highlight w:val="none"/>
        </w:rPr>
      </w:pPr>
      <w:r>
        <w:rPr>
          <w:rFonts w:hint="eastAsia" w:ascii="仿宋" w:hAnsi="仿宋" w:eastAsia="仿宋" w:cs="仿宋"/>
          <w:b/>
          <w:color w:val="000000"/>
          <w:szCs w:val="21"/>
          <w:highlight w:val="none"/>
        </w:rPr>
        <w:t>数据上传</w:t>
      </w:r>
    </w:p>
    <w:p>
      <w:pPr>
        <w:numPr>
          <w:ilvl w:val="0"/>
          <w:numId w:val="3"/>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使用专用物联网号段卡，通过NB-IoT（窄带物联网）方式进行数据通讯；</w:t>
      </w:r>
    </w:p>
    <w:p>
      <w:pPr>
        <w:numPr>
          <w:ilvl w:val="0"/>
          <w:numId w:val="3"/>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具备定时与手动上传两种工作模式；</w:t>
      </w:r>
    </w:p>
    <w:p>
      <w:pPr>
        <w:numPr>
          <w:ilvl w:val="0"/>
          <w:numId w:val="3"/>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定时上传，可在线配置为，以天为最小单位，按天上传、按月上传等模式；</w:t>
      </w:r>
    </w:p>
    <w:p>
      <w:pPr>
        <w:numPr>
          <w:ilvl w:val="0"/>
          <w:numId w:val="3"/>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上传机制需具备系统“错峰”和随机错峰两种模式，便于分担服务器、带宽等压力；</w:t>
      </w:r>
    </w:p>
    <w:p>
      <w:pPr>
        <w:numPr>
          <w:ilvl w:val="0"/>
          <w:numId w:val="3"/>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数据上传过程中，数据需采用动态的加密方式，保证通信数据的安全；</w:t>
      </w:r>
    </w:p>
    <w:p>
      <w:pPr>
        <w:numPr>
          <w:ilvl w:val="0"/>
          <w:numId w:val="3"/>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一段时间(最少1个月)内数据上传失败，当再次上传成功时需要把上传失败的数据继续回传给系统；</w:t>
      </w:r>
    </w:p>
    <w:p>
      <w:pPr>
        <w:numPr>
          <w:ilvl w:val="0"/>
          <w:numId w:val="3"/>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szCs w:val="21"/>
          <w:highlight w:val="none"/>
        </w:rPr>
        <w:t>表具实时数据包括但不限于以下数据：表具的通信号（源于表具条形识别码）、表具的时间、表具的软件版本号、表具的读数（总使用量）、表具的阀门状态、表具的电池电压、网络的信号强度等。</w:t>
      </w:r>
    </w:p>
    <w:p>
      <w:pPr>
        <w:numPr>
          <w:ilvl w:val="0"/>
          <w:numId w:val="3"/>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szCs w:val="21"/>
          <w:highlight w:val="none"/>
        </w:rPr>
        <w:t>具备远程自动校时功能；</w:t>
      </w:r>
    </w:p>
    <w:p>
      <w:pPr>
        <w:numPr>
          <w:ilvl w:val="0"/>
          <w:numId w:val="3"/>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szCs w:val="21"/>
          <w:highlight w:val="none"/>
        </w:rPr>
        <w:t>具备阀门动作记录上传功能，记录数量≥10条；</w:t>
      </w:r>
    </w:p>
    <w:p>
      <w:pPr>
        <w:numPr>
          <w:ilvl w:val="0"/>
          <w:numId w:val="2"/>
        </w:numPr>
        <w:adjustRightInd w:val="0"/>
        <w:snapToGrid w:val="0"/>
        <w:spacing w:line="360" w:lineRule="auto"/>
        <w:ind w:left="0" w:firstLine="422" w:firstLineChars="200"/>
        <w:jc w:val="left"/>
        <w:rPr>
          <w:rFonts w:ascii="仿宋" w:hAnsi="仿宋" w:eastAsia="仿宋" w:cs="仿宋"/>
          <w:b/>
          <w:color w:val="000000"/>
          <w:szCs w:val="21"/>
          <w:highlight w:val="none"/>
        </w:rPr>
      </w:pPr>
      <w:r>
        <w:rPr>
          <w:rFonts w:hint="eastAsia" w:ascii="仿宋" w:hAnsi="仿宋" w:eastAsia="仿宋" w:cs="仿宋"/>
          <w:b/>
          <w:color w:val="000000"/>
          <w:szCs w:val="21"/>
          <w:highlight w:val="none"/>
        </w:rPr>
        <w:t>远程控制</w:t>
      </w:r>
    </w:p>
    <w:p>
      <w:pPr>
        <w:numPr>
          <w:ilvl w:val="0"/>
          <w:numId w:val="4"/>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阀门需要具备远程可控；</w:t>
      </w:r>
    </w:p>
    <w:p>
      <w:pPr>
        <w:numPr>
          <w:ilvl w:val="0"/>
          <w:numId w:val="4"/>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阀门控制需要具备控制权限和非控制权限两种，控制权限指远程关阀后用户不能正常开阀使用，非控制权限指远程关阀后用户可以正常开阀使用；</w:t>
      </w:r>
    </w:p>
    <w:p>
      <w:pPr>
        <w:numPr>
          <w:ilvl w:val="0"/>
          <w:numId w:val="2"/>
        </w:numPr>
        <w:adjustRightInd w:val="0"/>
        <w:snapToGrid w:val="0"/>
        <w:spacing w:line="360" w:lineRule="auto"/>
        <w:ind w:left="0" w:firstLine="422" w:firstLineChars="200"/>
        <w:jc w:val="left"/>
        <w:rPr>
          <w:rFonts w:ascii="仿宋" w:hAnsi="仿宋" w:eastAsia="仿宋" w:cs="仿宋"/>
          <w:b/>
          <w:color w:val="000000"/>
          <w:szCs w:val="21"/>
          <w:highlight w:val="none"/>
        </w:rPr>
      </w:pPr>
      <w:r>
        <w:rPr>
          <w:rFonts w:hint="eastAsia" w:ascii="仿宋" w:hAnsi="仿宋" w:eastAsia="仿宋" w:cs="仿宋"/>
          <w:b/>
          <w:color w:val="000000"/>
          <w:szCs w:val="21"/>
          <w:highlight w:val="none"/>
        </w:rPr>
        <w:t>通信参数配置</w:t>
      </w:r>
    </w:p>
    <w:p>
      <w:pPr>
        <w:numPr>
          <w:ilvl w:val="0"/>
          <w:numId w:val="5"/>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通信的IP、端口、可远程在线配置；</w:t>
      </w:r>
    </w:p>
    <w:p>
      <w:pPr>
        <w:numPr>
          <w:ilvl w:val="0"/>
          <w:numId w:val="5"/>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定时上传模式及参数可在线配置；</w:t>
      </w:r>
    </w:p>
    <w:p>
      <w:pPr>
        <w:numPr>
          <w:ilvl w:val="0"/>
          <w:numId w:val="5"/>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通信时必须校准表内时钟；</w:t>
      </w:r>
    </w:p>
    <w:p>
      <w:pPr>
        <w:numPr>
          <w:ilvl w:val="0"/>
          <w:numId w:val="5"/>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除网络配置外，还需具备一种表端本地配置功能，方便快捷的修改通信参数，如串口通讯、红外通讯、蓝牙通讯等；</w:t>
      </w:r>
    </w:p>
    <w:p>
      <w:pPr>
        <w:numPr>
          <w:ilvl w:val="0"/>
          <w:numId w:val="2"/>
        </w:numPr>
        <w:adjustRightInd w:val="0"/>
        <w:snapToGrid w:val="0"/>
        <w:spacing w:line="360" w:lineRule="auto"/>
        <w:ind w:left="0" w:firstLine="422" w:firstLineChars="200"/>
        <w:jc w:val="left"/>
        <w:rPr>
          <w:rFonts w:ascii="仿宋" w:hAnsi="仿宋" w:eastAsia="仿宋" w:cs="仿宋"/>
          <w:b/>
          <w:color w:val="000000"/>
          <w:szCs w:val="21"/>
          <w:highlight w:val="none"/>
        </w:rPr>
      </w:pPr>
      <w:r>
        <w:rPr>
          <w:rFonts w:hint="eastAsia" w:ascii="仿宋" w:hAnsi="仿宋" w:eastAsia="仿宋" w:cs="仿宋"/>
          <w:b/>
          <w:color w:val="000000"/>
          <w:szCs w:val="21"/>
          <w:highlight w:val="none"/>
        </w:rPr>
        <w:t xml:space="preserve"> 数据保存</w:t>
      </w:r>
    </w:p>
    <w:p>
      <w:pPr>
        <w:numPr>
          <w:ilvl w:val="0"/>
          <w:numId w:val="6"/>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表具要保存每天的用气量，并按月存储，可按连续保存≥12个月用气量数据；</w:t>
      </w:r>
    </w:p>
    <w:p>
      <w:pPr>
        <w:numPr>
          <w:ilvl w:val="0"/>
          <w:numId w:val="6"/>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系统可根据需要读取历史保存的任何一个月的数据；</w:t>
      </w:r>
    </w:p>
    <w:p>
      <w:pPr>
        <w:numPr>
          <w:ilvl w:val="0"/>
          <w:numId w:val="6"/>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数据可长期保存，不受外界干扰、低电压、掉电的影响；</w:t>
      </w:r>
    </w:p>
    <w:p>
      <w:pPr>
        <w:numPr>
          <w:ilvl w:val="0"/>
          <w:numId w:val="2"/>
        </w:numPr>
        <w:adjustRightInd w:val="0"/>
        <w:snapToGrid w:val="0"/>
        <w:spacing w:line="360" w:lineRule="auto"/>
        <w:ind w:left="0" w:firstLine="422" w:firstLineChars="200"/>
        <w:jc w:val="left"/>
        <w:rPr>
          <w:rFonts w:ascii="仿宋" w:hAnsi="仿宋" w:eastAsia="仿宋" w:cs="仿宋"/>
          <w:b/>
          <w:color w:val="000000"/>
          <w:szCs w:val="21"/>
          <w:highlight w:val="none"/>
        </w:rPr>
      </w:pPr>
      <w:r>
        <w:rPr>
          <w:rFonts w:hint="eastAsia" w:ascii="仿宋" w:hAnsi="仿宋" w:eastAsia="仿宋" w:cs="仿宋"/>
          <w:b/>
          <w:color w:val="000000"/>
          <w:szCs w:val="21"/>
          <w:highlight w:val="none"/>
        </w:rPr>
        <w:t>异常报警管理</w:t>
      </w:r>
    </w:p>
    <w:p>
      <w:pPr>
        <w:adjustRightInd w:val="0"/>
        <w:snapToGrid w:val="0"/>
        <w:spacing w:line="360" w:lineRule="auto"/>
        <w:ind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无线远程系统需要具备以下几类报警信息统计与分类；</w:t>
      </w:r>
    </w:p>
    <w:p>
      <w:pPr>
        <w:numPr>
          <w:ilvl w:val="0"/>
          <w:numId w:val="7"/>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用气异常报警：</w:t>
      </w:r>
    </w:p>
    <w:p>
      <w:pPr>
        <w:numPr>
          <w:ilvl w:val="1"/>
          <w:numId w:val="7"/>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异常大流量告警，触发普通关阀；</w:t>
      </w:r>
    </w:p>
    <w:p>
      <w:pPr>
        <w:numPr>
          <w:ilvl w:val="1"/>
          <w:numId w:val="7"/>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多天不用气告警，触发普通关阀；</w:t>
      </w:r>
    </w:p>
    <w:p>
      <w:pPr>
        <w:numPr>
          <w:ilvl w:val="1"/>
          <w:numId w:val="7"/>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电磁干扰告警，触发普通关阀；</w:t>
      </w:r>
    </w:p>
    <w:p>
      <w:pPr>
        <w:numPr>
          <w:ilvl w:val="0"/>
          <w:numId w:val="7"/>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电量异常报警：</w:t>
      </w:r>
    </w:p>
    <w:p>
      <w:pPr>
        <w:numPr>
          <w:ilvl w:val="1"/>
          <w:numId w:val="7"/>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电量低触发上传数据；</w:t>
      </w:r>
    </w:p>
    <w:p>
      <w:pPr>
        <w:numPr>
          <w:ilvl w:val="1"/>
          <w:numId w:val="7"/>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掉电触发普通关阀；</w:t>
      </w:r>
    </w:p>
    <w:p>
      <w:pPr>
        <w:numPr>
          <w:ilvl w:val="0"/>
          <w:numId w:val="7"/>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通讯异常报警：</w:t>
      </w:r>
    </w:p>
    <w:p>
      <w:pPr>
        <w:adjustRightInd w:val="0"/>
        <w:snapToGrid w:val="0"/>
        <w:spacing w:line="360" w:lineRule="auto"/>
        <w:ind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a)  多天不上传数据，触发权限关阀；</w:t>
      </w:r>
    </w:p>
    <w:p>
      <w:pPr>
        <w:numPr>
          <w:ilvl w:val="0"/>
          <w:numId w:val="7"/>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阀门异常报警：</w:t>
      </w:r>
    </w:p>
    <w:p>
      <w:pPr>
        <w:adjustRightInd w:val="0"/>
        <w:snapToGrid w:val="0"/>
        <w:spacing w:line="360" w:lineRule="auto"/>
        <w:ind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a)  阀门直通报警，触发权限关阀；</w:t>
      </w:r>
    </w:p>
    <w:p>
      <w:pPr>
        <w:numPr>
          <w:ilvl w:val="0"/>
          <w:numId w:val="2"/>
        </w:numPr>
        <w:adjustRightInd w:val="0"/>
        <w:snapToGrid w:val="0"/>
        <w:spacing w:line="360" w:lineRule="auto"/>
        <w:ind w:left="0" w:firstLine="422" w:firstLineChars="200"/>
        <w:jc w:val="left"/>
        <w:rPr>
          <w:rFonts w:ascii="仿宋" w:hAnsi="仿宋" w:eastAsia="仿宋" w:cs="仿宋"/>
          <w:b/>
          <w:color w:val="000000"/>
          <w:szCs w:val="21"/>
          <w:highlight w:val="none"/>
        </w:rPr>
      </w:pPr>
      <w:r>
        <w:rPr>
          <w:rFonts w:hint="eastAsia" w:ascii="仿宋" w:hAnsi="仿宋" w:eastAsia="仿宋" w:cs="仿宋"/>
          <w:b/>
          <w:color w:val="000000"/>
          <w:szCs w:val="21"/>
          <w:highlight w:val="none"/>
        </w:rPr>
        <w:t>供电方式</w:t>
      </w:r>
    </w:p>
    <w:p>
      <w:pPr>
        <w:adjustRightInd w:val="0"/>
        <w:snapToGrid w:val="0"/>
        <w:spacing w:line="360" w:lineRule="auto"/>
        <w:ind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1）碱性电池供电：采用外置4节5号碱性电池的供电方式；碱性电池寿命≥12个月（一天上传一次）。</w:t>
      </w:r>
    </w:p>
    <w:p>
      <w:pPr>
        <w:adjustRightInd w:val="0"/>
        <w:snapToGrid w:val="0"/>
        <w:spacing w:line="360" w:lineRule="auto"/>
        <w:ind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2）当电池进入电量不足时，及时告知系统；</w:t>
      </w:r>
    </w:p>
    <w:p>
      <w:pPr>
        <w:numPr>
          <w:ilvl w:val="0"/>
          <w:numId w:val="2"/>
        </w:numPr>
        <w:adjustRightInd w:val="0"/>
        <w:snapToGrid w:val="0"/>
        <w:spacing w:line="360" w:lineRule="auto"/>
        <w:ind w:left="0" w:firstLine="422" w:firstLineChars="200"/>
        <w:jc w:val="left"/>
        <w:rPr>
          <w:rFonts w:ascii="仿宋" w:hAnsi="仿宋" w:eastAsia="仿宋" w:cs="仿宋"/>
          <w:b/>
          <w:color w:val="000000"/>
          <w:szCs w:val="21"/>
          <w:highlight w:val="none"/>
        </w:rPr>
      </w:pPr>
      <w:r>
        <w:rPr>
          <w:rFonts w:hint="eastAsia" w:ascii="仿宋" w:hAnsi="仿宋" w:eastAsia="仿宋" w:cs="仿宋"/>
          <w:b/>
          <w:color w:val="000000"/>
          <w:szCs w:val="21"/>
          <w:highlight w:val="none"/>
        </w:rPr>
        <w:t>结算方式</w:t>
      </w:r>
    </w:p>
    <w:p>
      <w:pPr>
        <w:adjustRightInd w:val="0"/>
        <w:snapToGrid w:val="0"/>
        <w:spacing w:line="360" w:lineRule="auto"/>
        <w:ind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系统架构采用表端用气记录、上传，后台进行结算的模式，具体要求如下：</w:t>
      </w:r>
    </w:p>
    <w:p>
      <w:pPr>
        <w:numPr>
          <w:ilvl w:val="1"/>
          <w:numId w:val="8"/>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表端具备剩余金额、单价、累计气量等计量相关数据显示与查询；</w:t>
      </w:r>
    </w:p>
    <w:p>
      <w:pPr>
        <w:numPr>
          <w:ilvl w:val="1"/>
          <w:numId w:val="8"/>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系统需具备阶梯气价功能；</w:t>
      </w:r>
    </w:p>
    <w:p>
      <w:pPr>
        <w:numPr>
          <w:ilvl w:val="1"/>
          <w:numId w:val="8"/>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阶梯气价需支持四阶五价；</w:t>
      </w:r>
    </w:p>
    <w:p>
      <w:pPr>
        <w:numPr>
          <w:ilvl w:val="0"/>
          <w:numId w:val="2"/>
        </w:numPr>
        <w:adjustRightInd w:val="0"/>
        <w:snapToGrid w:val="0"/>
        <w:spacing w:line="360" w:lineRule="auto"/>
        <w:ind w:left="0" w:firstLine="422" w:firstLineChars="200"/>
        <w:jc w:val="left"/>
        <w:rPr>
          <w:rFonts w:ascii="仿宋" w:hAnsi="仿宋" w:eastAsia="仿宋" w:cs="仿宋"/>
          <w:b/>
          <w:color w:val="000000"/>
          <w:szCs w:val="21"/>
          <w:highlight w:val="none"/>
        </w:rPr>
      </w:pPr>
      <w:r>
        <w:rPr>
          <w:rFonts w:hint="eastAsia" w:ascii="仿宋" w:hAnsi="仿宋" w:eastAsia="仿宋" w:cs="仿宋"/>
          <w:b/>
          <w:color w:val="000000"/>
          <w:szCs w:val="21"/>
          <w:highlight w:val="none"/>
        </w:rPr>
        <w:t>防过流</w:t>
      </w:r>
    </w:p>
    <w:p>
      <w:pPr>
        <w:numPr>
          <w:ilvl w:val="1"/>
          <w:numId w:val="9"/>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表具需要具备表端过流截止功能，并具备记录和报警；</w:t>
      </w:r>
    </w:p>
    <w:p>
      <w:pPr>
        <w:numPr>
          <w:ilvl w:val="0"/>
          <w:numId w:val="2"/>
        </w:numPr>
        <w:adjustRightInd w:val="0"/>
        <w:snapToGrid w:val="0"/>
        <w:spacing w:line="360" w:lineRule="auto"/>
        <w:ind w:left="0" w:firstLine="422" w:firstLineChars="200"/>
        <w:jc w:val="left"/>
        <w:rPr>
          <w:rFonts w:ascii="仿宋" w:hAnsi="仿宋" w:eastAsia="仿宋" w:cs="仿宋"/>
          <w:b/>
          <w:color w:val="000000"/>
          <w:szCs w:val="21"/>
          <w:highlight w:val="none"/>
        </w:rPr>
      </w:pPr>
      <w:r>
        <w:rPr>
          <w:rFonts w:hint="eastAsia" w:ascii="仿宋" w:hAnsi="仿宋" w:eastAsia="仿宋" w:cs="仿宋"/>
          <w:b/>
          <w:color w:val="000000"/>
          <w:szCs w:val="21"/>
          <w:highlight w:val="none"/>
        </w:rPr>
        <w:t>电量、余量不足报警</w:t>
      </w:r>
    </w:p>
    <w:p>
      <w:pPr>
        <w:numPr>
          <w:ilvl w:val="1"/>
          <w:numId w:val="10"/>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系统端支持两级余量不足报警的参数设置，并支持普通关阀与短信通知的功能。</w:t>
      </w:r>
    </w:p>
    <w:p>
      <w:pPr>
        <w:numPr>
          <w:ilvl w:val="1"/>
          <w:numId w:val="10"/>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电量、余量不足时表端和系统提供报警信息；</w:t>
      </w:r>
    </w:p>
    <w:p>
      <w:pPr>
        <w:numPr>
          <w:ilvl w:val="0"/>
          <w:numId w:val="2"/>
        </w:numPr>
        <w:adjustRightInd w:val="0"/>
        <w:snapToGrid w:val="0"/>
        <w:spacing w:line="360" w:lineRule="auto"/>
        <w:ind w:left="0" w:firstLine="422" w:firstLineChars="200"/>
        <w:jc w:val="left"/>
        <w:rPr>
          <w:rFonts w:ascii="仿宋" w:hAnsi="仿宋" w:eastAsia="仿宋" w:cs="仿宋"/>
          <w:b/>
          <w:color w:val="000000"/>
          <w:szCs w:val="21"/>
          <w:highlight w:val="none"/>
        </w:rPr>
      </w:pPr>
      <w:r>
        <w:rPr>
          <w:rFonts w:hint="eastAsia" w:ascii="仿宋" w:hAnsi="仿宋" w:eastAsia="仿宋" w:cs="仿宋"/>
          <w:b/>
          <w:color w:val="000000"/>
          <w:szCs w:val="21"/>
          <w:highlight w:val="none"/>
        </w:rPr>
        <w:t>显示功能</w:t>
      </w:r>
    </w:p>
    <w:p>
      <w:pPr>
        <w:numPr>
          <w:ilvl w:val="1"/>
          <w:numId w:val="11"/>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表端需提供显示累计气量、剩余金额、用气单价、阀门状态等状态信息；</w:t>
      </w:r>
    </w:p>
    <w:p>
      <w:pPr>
        <w:numPr>
          <w:ilvl w:val="1"/>
          <w:numId w:val="11"/>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表端需提供多种报警或异常信息显示，并能提示各种错误代码；</w:t>
      </w:r>
    </w:p>
    <w:p>
      <w:pPr>
        <w:numPr>
          <w:ilvl w:val="0"/>
          <w:numId w:val="2"/>
        </w:numPr>
        <w:adjustRightInd w:val="0"/>
        <w:snapToGrid w:val="0"/>
        <w:spacing w:line="360" w:lineRule="auto"/>
        <w:ind w:left="0" w:firstLine="422" w:firstLineChars="200"/>
        <w:jc w:val="left"/>
        <w:rPr>
          <w:rFonts w:ascii="仿宋" w:hAnsi="仿宋" w:eastAsia="仿宋" w:cs="仿宋"/>
          <w:b/>
          <w:color w:val="000000"/>
          <w:szCs w:val="21"/>
          <w:highlight w:val="none"/>
        </w:rPr>
      </w:pPr>
      <w:r>
        <w:rPr>
          <w:rFonts w:hint="eastAsia" w:ascii="仿宋" w:hAnsi="仿宋" w:eastAsia="仿宋" w:cs="仿宋"/>
          <w:b/>
          <w:color w:val="000000"/>
          <w:szCs w:val="21"/>
          <w:highlight w:val="none"/>
        </w:rPr>
        <w:t>防破坏功能</w:t>
      </w:r>
    </w:p>
    <w:p>
      <w:pPr>
        <w:numPr>
          <w:ilvl w:val="0"/>
          <w:numId w:val="12"/>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表端需具备经外力破坏方能拆卸的防护封印或其他措施；</w:t>
      </w:r>
    </w:p>
    <w:p>
      <w:pPr>
        <w:numPr>
          <w:ilvl w:val="0"/>
          <w:numId w:val="12"/>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表端需具备防屏蔽后的相应措施机制；</w:t>
      </w:r>
    </w:p>
    <w:p>
      <w:pPr>
        <w:numPr>
          <w:ilvl w:val="0"/>
          <w:numId w:val="12"/>
        </w:numPr>
        <w:adjustRightInd w:val="0"/>
        <w:snapToGrid w:val="0"/>
        <w:spacing w:line="360" w:lineRule="auto"/>
        <w:ind w:left="0"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表在强磁、无线电干扰、静电脉冲等干扰情况下，需具备关阀或正常工作的功能；</w:t>
      </w:r>
    </w:p>
    <w:p>
      <w:pPr>
        <w:numPr>
          <w:ilvl w:val="0"/>
          <w:numId w:val="2"/>
        </w:numPr>
        <w:adjustRightInd w:val="0"/>
        <w:snapToGrid w:val="0"/>
        <w:spacing w:line="360" w:lineRule="auto"/>
        <w:ind w:left="0" w:firstLine="422" w:firstLineChars="200"/>
        <w:jc w:val="left"/>
        <w:rPr>
          <w:rFonts w:ascii="仿宋" w:hAnsi="仿宋" w:eastAsia="仿宋" w:cs="仿宋"/>
          <w:color w:val="000000"/>
          <w:szCs w:val="21"/>
          <w:highlight w:val="none"/>
        </w:rPr>
      </w:pPr>
      <w:r>
        <w:rPr>
          <w:rFonts w:hint="eastAsia" w:ascii="仿宋" w:hAnsi="仿宋" w:eastAsia="仿宋" w:cs="仿宋"/>
          <w:b/>
          <w:color w:val="000000"/>
          <w:szCs w:val="21"/>
          <w:highlight w:val="none"/>
        </w:rPr>
        <w:t>外部报警联动功能</w:t>
      </w:r>
    </w:p>
    <w:p>
      <w:pPr>
        <w:adjustRightInd w:val="0"/>
        <w:snapToGrid w:val="0"/>
        <w:spacing w:line="360" w:lineRule="auto"/>
        <w:ind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燃气表应具备外部报警器泄漏报警联动关阀功能，控制器具备外部报警器联动接口，接口方式为RJ11。</w:t>
      </w:r>
    </w:p>
    <w:p>
      <w:pPr>
        <w:adjustRightInd w:val="0"/>
        <w:snapToGrid w:val="0"/>
        <w:spacing w:line="360" w:lineRule="auto"/>
        <w:ind w:firstLine="420" w:firstLineChars="200"/>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报警器输出的信号为带隔离的开关量信号。</w:t>
      </w:r>
    </w:p>
    <w:p>
      <w:pPr>
        <w:numPr>
          <w:ilvl w:val="0"/>
          <w:numId w:val="2"/>
        </w:numPr>
        <w:adjustRightInd w:val="0"/>
        <w:snapToGrid w:val="0"/>
        <w:spacing w:line="360" w:lineRule="auto"/>
        <w:ind w:left="0" w:firstLine="422" w:firstLineChars="200"/>
        <w:jc w:val="left"/>
        <w:rPr>
          <w:rFonts w:ascii="仿宋" w:hAnsi="仿宋" w:eastAsia="仿宋" w:cs="仿宋"/>
          <w:b/>
          <w:bCs/>
          <w:color w:val="000000"/>
          <w:szCs w:val="21"/>
          <w:highlight w:val="none"/>
        </w:rPr>
      </w:pPr>
      <w:r>
        <w:rPr>
          <w:rFonts w:hint="eastAsia" w:ascii="仿宋" w:hAnsi="仿宋" w:eastAsia="仿宋" w:cs="仿宋"/>
          <w:b/>
          <w:bCs/>
          <w:color w:val="000000"/>
          <w:szCs w:val="21"/>
          <w:highlight w:val="none"/>
        </w:rPr>
        <w:t>系统对接要求</w:t>
      </w:r>
    </w:p>
    <w:p>
      <w:pPr>
        <w:adjustRightInd w:val="0"/>
        <w:snapToGrid w:val="0"/>
        <w:spacing w:line="360" w:lineRule="auto"/>
        <w:ind w:firstLine="422" w:firstLineChars="200"/>
        <w:jc w:val="left"/>
        <w:rPr>
          <w:rFonts w:ascii="仿宋" w:hAnsi="仿宋" w:eastAsia="仿宋" w:cs="仿宋"/>
          <w:b/>
          <w:bCs/>
          <w:szCs w:val="21"/>
          <w:highlight w:val="none"/>
        </w:rPr>
      </w:pPr>
      <w:r>
        <w:rPr>
          <w:rFonts w:hint="eastAsia" w:ascii="仿宋" w:hAnsi="仿宋" w:eastAsia="仿宋" w:cs="仿宋"/>
          <w:b/>
          <w:bCs/>
          <w:color w:val="000000"/>
          <w:szCs w:val="21"/>
          <w:highlight w:val="none"/>
        </w:rPr>
        <w:t>燃气表需接入天然气公司指定系统，完成系统对接。</w:t>
      </w:r>
    </w:p>
    <w:p>
      <w:pPr>
        <w:snapToGrid w:val="0"/>
        <w:spacing w:line="360" w:lineRule="auto"/>
        <w:ind w:firstLine="643"/>
        <w:jc w:val="left"/>
        <w:outlineLvl w:val="0"/>
        <w:rPr>
          <w:rFonts w:ascii="仿宋" w:hAnsi="仿宋" w:eastAsia="仿宋" w:cs="仿宋"/>
          <w:b/>
          <w:szCs w:val="21"/>
          <w:highlight w:val="none"/>
        </w:rPr>
      </w:pPr>
    </w:p>
    <w:p>
      <w:pPr>
        <w:snapToGrid w:val="0"/>
        <w:spacing w:line="360" w:lineRule="auto"/>
        <w:ind w:firstLine="643"/>
        <w:jc w:val="left"/>
        <w:outlineLvl w:val="0"/>
        <w:rPr>
          <w:rFonts w:ascii="仿宋" w:hAnsi="仿宋" w:eastAsia="仿宋" w:cs="仿宋"/>
          <w:b/>
          <w:szCs w:val="21"/>
          <w:highlight w:val="none"/>
        </w:rPr>
      </w:pPr>
      <w:r>
        <w:rPr>
          <w:rFonts w:hint="eastAsia" w:ascii="仿宋" w:hAnsi="仿宋" w:eastAsia="仿宋" w:cs="仿宋"/>
          <w:b/>
          <w:szCs w:val="21"/>
          <w:highlight w:val="none"/>
        </w:rPr>
        <w:t>2、机械膜式燃气表技术要求</w:t>
      </w:r>
    </w:p>
    <w:p>
      <w:pPr>
        <w:adjustRightInd w:val="0"/>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1）质量标准：机械表符合国家GB/T 6968《膜式燃气表》标准规定要求；批量供货首次检定合格率不低于98%。</w:t>
      </w:r>
    </w:p>
    <w:p>
      <w:pPr>
        <w:adjustRightInd w:val="0"/>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 xml:space="preserve">2）型号或规格：铝壳G1.6 G2.5 </w:t>
      </w:r>
    </w:p>
    <w:p>
      <w:pPr>
        <w:adjustRightInd w:val="0"/>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3）准确度等级：符合JJG577-2012《膜式燃气表》检定规程中规定的1.5级表要求。即最大允许误差：流量在0.1qmax≤q≤qmax时为±1.5% ；流量在qmin≤q＜0.1qmax时为±3% 。</w:t>
      </w:r>
    </w:p>
    <w:p>
      <w:pPr>
        <w:adjustRightInd w:val="0"/>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 xml:space="preserve">4）滑阀运动方式为360度旋转式。 </w:t>
      </w:r>
    </w:p>
    <w:p>
      <w:pPr>
        <w:adjustRightInd w:val="0"/>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5）传动方式：齿轮传动或磁传动</w:t>
      </w:r>
      <w:bookmarkStart w:id="128" w:name="OLE_LINK8"/>
      <w:bookmarkStart w:id="129" w:name="OLE_LINK9"/>
      <w:r>
        <w:rPr>
          <w:rFonts w:hint="eastAsia" w:ascii="仿宋" w:hAnsi="仿宋" w:eastAsia="仿宋" w:cs="仿宋"/>
          <w:szCs w:val="21"/>
          <w:highlight w:val="none"/>
        </w:rPr>
        <w:t>。</w:t>
      </w:r>
      <w:bookmarkEnd w:id="128"/>
      <w:bookmarkEnd w:id="129"/>
    </w:p>
    <w:p>
      <w:pPr>
        <w:adjustRightInd w:val="0"/>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6）指示装置：机械字轮式。</w:t>
      </w:r>
    </w:p>
    <w:p>
      <w:pPr>
        <w:adjustRightInd w:val="0"/>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7）密封性：试验压力1.5倍最大工作压力下持续时间3分钟不漏气。</w:t>
      </w:r>
    </w:p>
    <w:p>
      <w:pPr>
        <w:adjustRightInd w:val="0"/>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8）总压力损失：不大于200pa。</w:t>
      </w:r>
    </w:p>
    <w:p>
      <w:pPr>
        <w:adjustRightInd w:val="0"/>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9）最大工作压力 ：15kPa</w:t>
      </w:r>
    </w:p>
    <w:p>
      <w:pPr>
        <w:adjustRightInd w:val="0"/>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10）传动部件设有防止逆转装置。</w:t>
      </w:r>
    </w:p>
    <w:p>
      <w:pPr>
        <w:adjustRightInd w:val="0"/>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11）进气方向有流体流动方向的显著标志。</w:t>
      </w:r>
    </w:p>
    <w:p>
      <w:pPr>
        <w:adjustRightInd w:val="0"/>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12）指示装置的最小分度值字轮上设置有采样光标。</w:t>
      </w:r>
    </w:p>
    <w:p>
      <w:pPr>
        <w:adjustRightInd w:val="0"/>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13）外壳：铝壳。</w:t>
      </w:r>
    </w:p>
    <w:p>
      <w:pPr>
        <w:adjustRightInd w:val="0"/>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14）进出气口连接螺纹规格M30×2,、中心距130cm。</w:t>
      </w:r>
      <w:bookmarkEnd w:id="126"/>
    </w:p>
    <w:p>
      <w:pPr>
        <w:wordWrap w:val="0"/>
        <w:topLinePunct/>
        <w:rPr>
          <w:rFonts w:ascii="仿宋" w:hAnsi="仿宋" w:eastAsia="仿宋" w:cs="仿宋"/>
          <w:kern w:val="0"/>
          <w:sz w:val="32"/>
          <w:szCs w:val="32"/>
          <w:highlight w:val="none"/>
        </w:rPr>
      </w:pPr>
      <w:r>
        <w:rPr>
          <w:rFonts w:hint="eastAsia" w:ascii="仿宋" w:hAnsi="仿宋" w:eastAsia="仿宋" w:cs="仿宋"/>
          <w:kern w:val="0"/>
          <w:sz w:val="32"/>
          <w:szCs w:val="32"/>
          <w:highlight w:val="none"/>
        </w:rPr>
        <w:br w:type="page"/>
      </w:r>
    </w:p>
    <w:p>
      <w:pPr>
        <w:wordWrap w:val="0"/>
        <w:topLinePunct/>
        <w:jc w:val="center"/>
        <w:rPr>
          <w:rFonts w:ascii="仿宋" w:hAnsi="仿宋" w:eastAsia="仿宋" w:cs="仿宋"/>
          <w:kern w:val="0"/>
          <w:sz w:val="36"/>
          <w:highlight w:val="none"/>
        </w:rPr>
      </w:pPr>
      <w:r>
        <w:rPr>
          <w:rFonts w:hint="eastAsia" w:ascii="仿宋" w:hAnsi="仿宋" w:eastAsia="仿宋" w:cs="仿宋"/>
          <w:kern w:val="0"/>
          <w:sz w:val="36"/>
          <w:highlight w:val="none"/>
        </w:rPr>
        <w:t>第五章 评标方法及评标标准</w:t>
      </w:r>
      <w:bookmarkEnd w:id="127"/>
    </w:p>
    <w:p>
      <w:pPr>
        <w:pStyle w:val="54"/>
        <w:wordWrap w:val="0"/>
        <w:topLinePunct/>
        <w:snapToGrid w:val="0"/>
        <w:spacing w:before="0" w:after="0"/>
        <w:ind w:firstLine="422" w:firstLineChars="200"/>
        <w:rPr>
          <w:rFonts w:ascii="仿宋" w:hAnsi="仿宋" w:eastAsia="仿宋" w:cs="仿宋"/>
          <w:b/>
          <w:sz w:val="21"/>
          <w:szCs w:val="21"/>
          <w:highlight w:val="none"/>
        </w:rPr>
      </w:pPr>
      <w:r>
        <w:rPr>
          <w:rFonts w:hint="eastAsia" w:ascii="仿宋" w:hAnsi="仿宋" w:eastAsia="仿宋" w:cs="仿宋"/>
          <w:b/>
          <w:sz w:val="21"/>
          <w:szCs w:val="21"/>
          <w:highlight w:val="none"/>
        </w:rPr>
        <w:t>一、评标方法</w:t>
      </w:r>
    </w:p>
    <w:p>
      <w:pPr>
        <w:pStyle w:val="54"/>
        <w:wordWrap w:val="0"/>
        <w:topLinePunct/>
        <w:snapToGrid w:val="0"/>
        <w:spacing w:before="0" w:after="0"/>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本项目采用综合评分法，评委会将按照招标文件中规定的评标方法和标准，对资格性检查和符合性检查合格的投标文件进行商务和技术评估，综合比较与评价。评标结果按评审后得分由高到低顺序排列。得分相同的，按投标报价由低到高顺序排列。得分和投标报价相同的，且投标文件满足招标文件全部实质性要求，按照评审因素的量化指标评审得分由高到低排序，得分排序在前三名投标人为中标候选人。</w:t>
      </w:r>
    </w:p>
    <w:p>
      <w:pPr>
        <w:pStyle w:val="19"/>
        <w:wordWrap w:val="0"/>
        <w:topLinePunct/>
        <w:spacing w:after="0" w:line="360" w:lineRule="auto"/>
        <w:jc w:val="both"/>
        <w:rPr>
          <w:rFonts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二、</w:t>
      </w:r>
      <w:bookmarkStart w:id="130" w:name="_Toc449017024"/>
      <w:bookmarkStart w:id="131" w:name="_Toc449016388"/>
      <w:r>
        <w:rPr>
          <w:rFonts w:hint="eastAsia" w:ascii="仿宋" w:hAnsi="仿宋" w:eastAsia="仿宋" w:cs="仿宋"/>
          <w:b/>
          <w:bCs/>
          <w:kern w:val="0"/>
          <w:sz w:val="21"/>
          <w:szCs w:val="21"/>
          <w:highlight w:val="none"/>
        </w:rPr>
        <w:t>落实政府采购政策及政府采购不诚信记录扣分评审</w:t>
      </w:r>
      <w:bookmarkEnd w:id="130"/>
      <w:bookmarkEnd w:id="131"/>
    </w:p>
    <w:p>
      <w:pPr>
        <w:wordWrap w:val="0"/>
        <w:topLinePunct/>
        <w:spacing w:line="360" w:lineRule="auto"/>
        <w:ind w:firstLine="420"/>
        <w:rPr>
          <w:rFonts w:ascii="仿宋" w:hAnsi="仿宋" w:eastAsia="仿宋" w:cs="仿宋"/>
          <w:color w:val="000000"/>
          <w:kern w:val="0"/>
          <w:highlight w:val="none"/>
        </w:rPr>
      </w:pPr>
      <w:r>
        <w:rPr>
          <w:rFonts w:hint="eastAsia" w:ascii="仿宋" w:hAnsi="仿宋" w:eastAsia="仿宋" w:cs="仿宋"/>
          <w:color w:val="000000"/>
          <w:kern w:val="0"/>
          <w:highlight w:val="none"/>
        </w:rPr>
        <w:t>1、中小企业</w:t>
      </w:r>
    </w:p>
    <w:p>
      <w:pPr>
        <w:wordWrap w:val="0"/>
        <w:topLinePunct/>
        <w:spacing w:line="360" w:lineRule="auto"/>
        <w:ind w:firstLine="420"/>
        <w:rPr>
          <w:rFonts w:ascii="仿宋" w:hAnsi="仿宋" w:eastAsia="仿宋" w:cs="仿宋"/>
          <w:color w:val="000000"/>
          <w:kern w:val="0"/>
          <w:highlight w:val="none"/>
        </w:rPr>
      </w:pPr>
      <w:r>
        <w:rPr>
          <w:rFonts w:hint="eastAsia" w:ascii="仿宋" w:hAnsi="仿宋" w:eastAsia="仿宋" w:cs="仿宋"/>
          <w:color w:val="000000"/>
          <w:kern w:val="0"/>
          <w:highlight w:val="none"/>
        </w:rPr>
        <w:t>（1）供应商需按照磋商文件的要求提供相应的《中小企业声明函》。</w:t>
      </w:r>
    </w:p>
    <w:p>
      <w:pPr>
        <w:wordWrap w:val="0"/>
        <w:topLinePunct/>
        <w:spacing w:line="360" w:lineRule="auto"/>
        <w:ind w:firstLine="420"/>
        <w:rPr>
          <w:rFonts w:ascii="仿宋" w:hAnsi="仿宋" w:eastAsia="仿宋" w:cs="仿宋"/>
          <w:color w:val="000000"/>
          <w:kern w:val="0"/>
          <w:highlight w:val="none"/>
        </w:rPr>
      </w:pPr>
      <w:r>
        <w:rPr>
          <w:rFonts w:hint="eastAsia" w:ascii="仿宋" w:hAnsi="仿宋" w:eastAsia="仿宋" w:cs="仿宋"/>
          <w:color w:val="000000"/>
          <w:kern w:val="0"/>
          <w:highlight w:val="none"/>
        </w:rPr>
        <w:t>（2）企业标准请参照《关于印发中小企业划型标准规定的通知》（工信部联企业[2011]300号）文件规定自行填写。</w:t>
      </w:r>
    </w:p>
    <w:p>
      <w:pPr>
        <w:wordWrap w:val="0"/>
        <w:topLinePunct/>
        <w:spacing w:line="360" w:lineRule="auto"/>
        <w:ind w:firstLine="420"/>
        <w:rPr>
          <w:rFonts w:ascii="仿宋" w:hAnsi="仿宋" w:eastAsia="仿宋" w:cs="仿宋"/>
          <w:color w:val="000000"/>
          <w:kern w:val="0"/>
          <w:highlight w:val="none"/>
        </w:rPr>
      </w:pPr>
      <w:r>
        <w:rPr>
          <w:rFonts w:hint="eastAsia" w:ascii="仿宋" w:hAnsi="仿宋" w:eastAsia="仿宋" w:cs="仿宋"/>
          <w:color w:val="000000"/>
          <w:kern w:val="0"/>
          <w:highlight w:val="none"/>
        </w:rPr>
        <w:t>2、残疾人福利单位</w:t>
      </w:r>
    </w:p>
    <w:p>
      <w:pPr>
        <w:wordWrap w:val="0"/>
        <w:topLinePunct/>
        <w:spacing w:line="360" w:lineRule="auto"/>
        <w:ind w:firstLine="420"/>
        <w:rPr>
          <w:rFonts w:ascii="仿宋" w:hAnsi="仿宋" w:eastAsia="仿宋" w:cs="仿宋"/>
          <w:color w:val="000000"/>
          <w:kern w:val="0"/>
          <w:highlight w:val="none"/>
        </w:rPr>
      </w:pPr>
      <w:r>
        <w:rPr>
          <w:rFonts w:hint="eastAsia" w:ascii="仿宋" w:hAnsi="仿宋" w:eastAsia="仿宋" w:cs="仿宋"/>
          <w:color w:val="000000"/>
          <w:kern w:val="0"/>
          <w:highlight w:val="none"/>
        </w:rPr>
        <w:t>（1）本项目对残疾人福利性单位视同小型、微型企业。</w:t>
      </w:r>
    </w:p>
    <w:p>
      <w:pPr>
        <w:wordWrap w:val="0"/>
        <w:topLinePunct/>
        <w:spacing w:line="360" w:lineRule="auto"/>
        <w:ind w:firstLine="420"/>
        <w:rPr>
          <w:rFonts w:ascii="仿宋" w:hAnsi="仿宋" w:eastAsia="仿宋" w:cs="仿宋"/>
          <w:color w:val="000000"/>
          <w:kern w:val="0"/>
          <w:highlight w:val="none"/>
        </w:rPr>
      </w:pPr>
      <w:r>
        <w:rPr>
          <w:rFonts w:hint="eastAsia" w:ascii="仿宋" w:hAnsi="仿宋" w:eastAsia="仿宋" w:cs="仿宋"/>
          <w:color w:val="000000"/>
          <w:kern w:val="0"/>
          <w:highlight w:val="none"/>
        </w:rPr>
        <w:t>（2）残疾人福利单位需按照采购文件的要求提供《残疾人福利性单位声明函》。</w:t>
      </w:r>
    </w:p>
    <w:p>
      <w:pPr>
        <w:wordWrap w:val="0"/>
        <w:topLinePunct/>
        <w:spacing w:line="360" w:lineRule="auto"/>
        <w:ind w:firstLine="420"/>
        <w:rPr>
          <w:rFonts w:ascii="仿宋" w:hAnsi="仿宋" w:eastAsia="仿宋" w:cs="仿宋"/>
          <w:color w:val="000000"/>
          <w:kern w:val="0"/>
          <w:highlight w:val="none"/>
        </w:rPr>
      </w:pPr>
      <w:r>
        <w:rPr>
          <w:rFonts w:hint="eastAsia" w:ascii="仿宋" w:hAnsi="仿宋" w:eastAsia="仿宋" w:cs="仿宋"/>
          <w:color w:val="000000"/>
          <w:kern w:val="0"/>
          <w:highlight w:val="none"/>
        </w:rPr>
        <w:t>（3）残疾人福利单位标准请参照《关于促进残疾人就业政府采购政策的通知》（财库〔2017〕141号）。</w:t>
      </w:r>
    </w:p>
    <w:p>
      <w:pPr>
        <w:wordWrap w:val="0"/>
        <w:topLinePunct/>
        <w:spacing w:line="360" w:lineRule="auto"/>
        <w:ind w:firstLine="420"/>
        <w:rPr>
          <w:rFonts w:ascii="仿宋" w:hAnsi="仿宋" w:eastAsia="仿宋" w:cs="仿宋"/>
          <w:color w:val="000000"/>
          <w:kern w:val="0"/>
          <w:highlight w:val="none"/>
        </w:rPr>
      </w:pPr>
      <w:r>
        <w:rPr>
          <w:rFonts w:hint="eastAsia" w:ascii="仿宋" w:hAnsi="仿宋" w:eastAsia="仿宋" w:cs="仿宋"/>
          <w:color w:val="000000"/>
          <w:kern w:val="0"/>
          <w:highlight w:val="none"/>
        </w:rPr>
        <w:t>3、监狱和戒毒企业</w:t>
      </w:r>
    </w:p>
    <w:p>
      <w:pPr>
        <w:wordWrap w:val="0"/>
        <w:topLinePunct/>
        <w:spacing w:line="360" w:lineRule="auto"/>
        <w:ind w:firstLine="420"/>
        <w:rPr>
          <w:rFonts w:ascii="仿宋" w:hAnsi="仿宋" w:eastAsia="仿宋" w:cs="仿宋"/>
          <w:color w:val="000000"/>
          <w:kern w:val="0"/>
          <w:highlight w:val="none"/>
        </w:rPr>
      </w:pPr>
      <w:r>
        <w:rPr>
          <w:rFonts w:hint="eastAsia" w:ascii="仿宋" w:hAnsi="仿宋" w:eastAsia="仿宋" w:cs="仿宋"/>
          <w:color w:val="000000"/>
          <w:kern w:val="0"/>
          <w:highlight w:val="none"/>
        </w:rPr>
        <w:t>（1）本项目对监狱和戒毒企业（简称监狱企业）视同小型、微型企业。</w:t>
      </w:r>
    </w:p>
    <w:p>
      <w:pPr>
        <w:wordWrap w:val="0"/>
        <w:topLinePunct/>
        <w:spacing w:line="360" w:lineRule="auto"/>
        <w:ind w:firstLine="420"/>
        <w:rPr>
          <w:rFonts w:ascii="仿宋" w:hAnsi="仿宋" w:eastAsia="仿宋" w:cs="仿宋"/>
          <w:color w:val="000000"/>
          <w:kern w:val="0"/>
          <w:highlight w:val="none"/>
        </w:rPr>
      </w:pPr>
      <w:r>
        <w:rPr>
          <w:rFonts w:hint="eastAsia" w:ascii="仿宋" w:hAnsi="仿宋" w:eastAsia="仿宋" w:cs="仿宋"/>
          <w:color w:val="000000"/>
          <w:kern w:val="0"/>
          <w:highlight w:val="none"/>
        </w:rPr>
        <w:t>（2）监狱企业参加政府采购活动时，需提供由省级以上监狱管理局、戒毒管理局(含新疆生产建设兵团)出具的属于监狱企业的证明文件。供应商如不提供上述证明文件，价格将不做相应扣除。</w:t>
      </w:r>
    </w:p>
    <w:p>
      <w:pPr>
        <w:wordWrap w:val="0"/>
        <w:topLinePunct/>
        <w:spacing w:line="360" w:lineRule="auto"/>
        <w:ind w:firstLine="420"/>
        <w:rPr>
          <w:rFonts w:ascii="仿宋" w:hAnsi="仿宋" w:eastAsia="仿宋" w:cs="仿宋"/>
          <w:color w:val="000000"/>
          <w:kern w:val="0"/>
          <w:highlight w:val="none"/>
        </w:rPr>
      </w:pPr>
      <w:r>
        <w:rPr>
          <w:rFonts w:hint="eastAsia" w:ascii="仿宋" w:hAnsi="仿宋" w:eastAsia="仿宋" w:cs="仿宋"/>
          <w:color w:val="000000"/>
          <w:kern w:val="0"/>
          <w:highlight w:val="none"/>
        </w:rPr>
        <w:t>（3）监狱企业标准请参照《关于政府采购支持监狱企业发展有关问题的通知》（财库[2014]68号）。</w:t>
      </w:r>
    </w:p>
    <w:p>
      <w:pPr>
        <w:wordWrap w:val="0"/>
        <w:topLinePunct/>
        <w:spacing w:line="360" w:lineRule="auto"/>
        <w:ind w:firstLine="420"/>
        <w:rPr>
          <w:rFonts w:ascii="仿宋" w:hAnsi="仿宋" w:eastAsia="仿宋" w:cs="仿宋"/>
          <w:color w:val="000000"/>
          <w:kern w:val="0"/>
          <w:highlight w:val="none"/>
        </w:rPr>
      </w:pPr>
      <w:r>
        <w:rPr>
          <w:rFonts w:hint="eastAsia" w:ascii="仿宋" w:hAnsi="仿宋" w:eastAsia="仿宋" w:cs="仿宋"/>
          <w:color w:val="000000"/>
          <w:kern w:val="0"/>
          <w:highlight w:val="none"/>
        </w:rPr>
        <w:t>根据《江苏省政府采购供应商监督管理暂行办法》的规定，诚信记录分每减10分，给予本项目总分值2%的扣分，扣分最多不超过本项目总分值6%。</w:t>
      </w:r>
    </w:p>
    <w:p>
      <w:pPr>
        <w:rPr>
          <w:rFonts w:ascii="仿宋" w:hAnsi="仿宋" w:eastAsia="仿宋" w:cs="仿宋"/>
          <w:color w:val="000000"/>
          <w:kern w:val="0"/>
          <w:highlight w:val="none"/>
        </w:rPr>
      </w:pPr>
      <w:r>
        <w:rPr>
          <w:rFonts w:hint="eastAsia" w:ascii="仿宋" w:hAnsi="仿宋" w:eastAsia="仿宋" w:cs="仿宋"/>
          <w:color w:val="000000"/>
          <w:kern w:val="0"/>
          <w:highlight w:val="none"/>
        </w:rPr>
        <w:br w:type="page"/>
      </w:r>
    </w:p>
    <w:p>
      <w:pPr>
        <w:wordWrap w:val="0"/>
        <w:topLinePunct/>
        <w:adjustRightInd w:val="0"/>
        <w:snapToGrid w:val="0"/>
        <w:spacing w:line="360" w:lineRule="auto"/>
        <w:rPr>
          <w:rFonts w:ascii="仿宋" w:hAnsi="仿宋" w:eastAsia="仿宋" w:cs="仿宋"/>
          <w:b/>
          <w:bCs/>
          <w:kern w:val="0"/>
          <w:szCs w:val="21"/>
          <w:highlight w:val="none"/>
        </w:rPr>
      </w:pPr>
      <w:r>
        <w:rPr>
          <w:rFonts w:hint="eastAsia" w:ascii="仿宋" w:hAnsi="仿宋" w:eastAsia="仿宋" w:cs="仿宋"/>
          <w:color w:val="000000"/>
          <w:kern w:val="0"/>
          <w:highlight w:val="none"/>
        </w:rPr>
        <w:t>三、</w:t>
      </w:r>
      <w:r>
        <w:rPr>
          <w:rFonts w:hint="eastAsia" w:ascii="仿宋" w:hAnsi="仿宋" w:eastAsia="仿宋" w:cs="仿宋"/>
          <w:b/>
          <w:kern w:val="0"/>
          <w:szCs w:val="21"/>
          <w:highlight w:val="none"/>
        </w:rPr>
        <w:t>评标标准</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36"/>
        <w:gridCol w:w="79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vAlign w:val="center"/>
          </w:tcPr>
          <w:p>
            <w:pPr>
              <w:wordWrap w:val="0"/>
              <w:topLinePunct/>
              <w:adjustRightInd w:val="0"/>
              <w:snapToGrid w:val="0"/>
              <w:spacing w:line="44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序号</w:t>
            </w:r>
          </w:p>
        </w:tc>
        <w:tc>
          <w:tcPr>
            <w:tcW w:w="373" w:type="pct"/>
            <w:vAlign w:val="center"/>
          </w:tcPr>
          <w:p>
            <w:pPr>
              <w:wordWrap w:val="0"/>
              <w:topLinePunct/>
              <w:adjustRightInd w:val="0"/>
              <w:snapToGrid w:val="0"/>
              <w:spacing w:line="44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内容</w:t>
            </w:r>
          </w:p>
        </w:tc>
        <w:tc>
          <w:tcPr>
            <w:tcW w:w="466" w:type="pct"/>
            <w:vAlign w:val="center"/>
          </w:tcPr>
          <w:p>
            <w:pPr>
              <w:wordWrap w:val="0"/>
              <w:topLinePunct/>
              <w:adjustRightInd w:val="0"/>
              <w:snapToGrid w:val="0"/>
              <w:spacing w:line="44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分值</w:t>
            </w:r>
          </w:p>
        </w:tc>
        <w:tc>
          <w:tcPr>
            <w:tcW w:w="3910" w:type="pct"/>
            <w:vAlign w:val="center"/>
          </w:tcPr>
          <w:p>
            <w:pPr>
              <w:wordWrap w:val="0"/>
              <w:topLinePunct/>
              <w:adjustRightInd w:val="0"/>
              <w:snapToGrid w:val="0"/>
              <w:spacing w:line="44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vAlign w:val="center"/>
          </w:tcPr>
          <w:p>
            <w:pPr>
              <w:wordWrap w:val="0"/>
              <w:topLinePunct/>
              <w:adjustRightInd w:val="0"/>
              <w:snapToGrid w:val="0"/>
              <w:spacing w:line="44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1</w:t>
            </w:r>
          </w:p>
        </w:tc>
        <w:tc>
          <w:tcPr>
            <w:tcW w:w="373" w:type="pct"/>
            <w:vAlign w:val="center"/>
          </w:tcPr>
          <w:p>
            <w:pPr>
              <w:wordWrap w:val="0"/>
              <w:topLinePunct/>
              <w:adjustRightInd w:val="0"/>
              <w:snapToGrid w:val="0"/>
              <w:spacing w:line="44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报价</w:t>
            </w:r>
          </w:p>
        </w:tc>
        <w:tc>
          <w:tcPr>
            <w:tcW w:w="466" w:type="pct"/>
            <w:vAlign w:val="center"/>
          </w:tcPr>
          <w:p>
            <w:pPr>
              <w:wordWrap w:val="0"/>
              <w:topLinePunct/>
              <w:adjustRightInd w:val="0"/>
              <w:snapToGrid w:val="0"/>
              <w:spacing w:line="44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30</w:t>
            </w:r>
          </w:p>
        </w:tc>
        <w:tc>
          <w:tcPr>
            <w:tcW w:w="3910" w:type="pct"/>
            <w:vAlign w:val="center"/>
          </w:tcPr>
          <w:p>
            <w:pPr>
              <w:wordWrap w:val="0"/>
              <w:topLinePunct/>
              <w:adjustRightInd w:val="0"/>
              <w:snapToGrid w:val="0"/>
              <w:spacing w:line="440" w:lineRule="exact"/>
              <w:jc w:val="left"/>
              <w:rPr>
                <w:rFonts w:ascii="仿宋" w:hAnsi="仿宋" w:eastAsia="仿宋" w:cs="仿宋"/>
                <w:kern w:val="0"/>
                <w:szCs w:val="21"/>
                <w:highlight w:val="none"/>
              </w:rPr>
            </w:pPr>
            <w:r>
              <w:rPr>
                <w:rFonts w:hint="eastAsia" w:ascii="仿宋" w:hAnsi="仿宋" w:eastAsia="仿宋" w:cs="仿宋"/>
                <w:kern w:val="0"/>
                <w:szCs w:val="21"/>
                <w:highlight w:val="none"/>
              </w:rPr>
              <w:t>满足招标文件要求且投标价格最低的投标报价为评标基准价，其价格分为30分，其他投标人的价格分统一按照下列公式计算：投标报价得分=（评标基准价/投标报价）*30*100%。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vAlign w:val="center"/>
          </w:tcPr>
          <w:p>
            <w:pPr>
              <w:wordWrap w:val="0"/>
              <w:topLinePunct/>
              <w:adjustRightInd w:val="0"/>
              <w:snapToGrid w:val="0"/>
              <w:spacing w:line="44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2</w:t>
            </w:r>
          </w:p>
        </w:tc>
        <w:tc>
          <w:tcPr>
            <w:tcW w:w="373" w:type="pct"/>
            <w:vAlign w:val="center"/>
          </w:tcPr>
          <w:p>
            <w:pPr>
              <w:wordWrap w:val="0"/>
              <w:topLinePunct/>
              <w:adjustRightInd w:val="0"/>
              <w:snapToGrid w:val="0"/>
              <w:spacing w:line="44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企业业绩</w:t>
            </w:r>
          </w:p>
        </w:tc>
        <w:tc>
          <w:tcPr>
            <w:tcW w:w="466" w:type="pct"/>
            <w:vAlign w:val="center"/>
          </w:tcPr>
          <w:p>
            <w:pPr>
              <w:wordWrap w:val="0"/>
              <w:topLinePunct/>
              <w:adjustRightInd w:val="0"/>
              <w:snapToGrid w:val="0"/>
              <w:spacing w:line="44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10</w:t>
            </w:r>
          </w:p>
        </w:tc>
        <w:tc>
          <w:tcPr>
            <w:tcW w:w="3910" w:type="pct"/>
            <w:vAlign w:val="center"/>
          </w:tcPr>
          <w:p>
            <w:pPr>
              <w:wordWrap w:val="0"/>
              <w:topLinePunct/>
              <w:adjustRightInd w:val="0"/>
              <w:snapToGrid w:val="0"/>
              <w:spacing w:line="440" w:lineRule="exact"/>
              <w:jc w:val="left"/>
              <w:rPr>
                <w:rFonts w:ascii="仿宋" w:hAnsi="仿宋" w:eastAsia="仿宋" w:cs="仿宋"/>
                <w:kern w:val="0"/>
                <w:szCs w:val="21"/>
                <w:highlight w:val="none"/>
              </w:rPr>
            </w:pPr>
            <w:r>
              <w:rPr>
                <w:rFonts w:hint="eastAsia" w:ascii="仿宋" w:hAnsi="仿宋" w:eastAsia="仿宋" w:cs="仿宋"/>
                <w:kern w:val="0"/>
                <w:szCs w:val="21"/>
                <w:highlight w:val="none"/>
              </w:rPr>
              <w:t>投标人自2021年1月1日</w:t>
            </w:r>
            <w:r>
              <w:rPr>
                <w:rFonts w:hint="eastAsia" w:ascii="仿宋" w:hAnsi="仿宋" w:eastAsia="仿宋" w:cs="仿宋"/>
                <w:b/>
                <w:bCs/>
                <w:kern w:val="0"/>
                <w:szCs w:val="21"/>
                <w:highlight w:val="none"/>
              </w:rPr>
              <w:t>（以合同签订时间为准）</w:t>
            </w:r>
            <w:r>
              <w:rPr>
                <w:rFonts w:hint="eastAsia" w:ascii="仿宋" w:hAnsi="仿宋" w:eastAsia="仿宋" w:cs="仿宋"/>
                <w:kern w:val="0"/>
                <w:szCs w:val="21"/>
                <w:highlight w:val="none"/>
              </w:rPr>
              <w:t>以来签订的类似项目，每提供一个得1分，满分10分。</w:t>
            </w:r>
          </w:p>
          <w:p>
            <w:pPr>
              <w:pStyle w:val="36"/>
              <w:wordWrap w:val="0"/>
              <w:topLinePunct/>
              <w:adjustRightInd w:val="0"/>
              <w:snapToGrid w:val="0"/>
              <w:spacing w:line="440" w:lineRule="exact"/>
              <w:rPr>
                <w:rFonts w:ascii="仿宋" w:hAnsi="仿宋" w:eastAsia="仿宋" w:cs="仿宋"/>
                <w:kern w:val="0"/>
                <w:sz w:val="21"/>
                <w:szCs w:val="21"/>
                <w:highlight w:val="none"/>
              </w:rPr>
            </w:pPr>
            <w:r>
              <w:rPr>
                <w:rFonts w:hint="eastAsia" w:ascii="仿宋" w:hAnsi="仿宋" w:eastAsia="仿宋" w:cs="仿宋"/>
                <w:b/>
                <w:bCs/>
                <w:kern w:val="0"/>
                <w:sz w:val="21"/>
                <w:szCs w:val="21"/>
                <w:highlight w:val="none"/>
              </w:rPr>
              <w:t>注：证明材料包括但不限于中标（成交）通知书（或者其他证明材料）和合同（以合同中明确的时间、金额等内容等要素为准，</w:t>
            </w:r>
            <w:r>
              <w:rPr>
                <w:rFonts w:hint="eastAsia" w:ascii="仿宋" w:hAnsi="仿宋" w:eastAsia="仿宋" w:cs="仿宋"/>
                <w:b/>
                <w:kern w:val="0"/>
                <w:sz w:val="21"/>
                <w:szCs w:val="21"/>
                <w:highlight w:val="none"/>
              </w:rPr>
              <w:t>同一项目不同年限的不累计、同一份合同不重复计分</w:t>
            </w:r>
            <w:r>
              <w:rPr>
                <w:rFonts w:hint="eastAsia" w:ascii="仿宋" w:hAnsi="仿宋" w:eastAsia="仿宋" w:cs="仿宋"/>
                <w:b/>
                <w:bCs/>
                <w:kern w:val="0"/>
                <w:sz w:val="21"/>
                <w:szCs w:val="21"/>
                <w:highlight w:val="none"/>
              </w:rPr>
              <w:t>），如以上证明材料中无法体现关键评审因素的，须另提供业主单位出具的证明材料，原件核查，未提供原件不得分。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vAlign w:val="center"/>
          </w:tcPr>
          <w:p>
            <w:pPr>
              <w:wordWrap w:val="0"/>
              <w:topLinePunct/>
              <w:adjustRightInd w:val="0"/>
              <w:snapToGrid w:val="0"/>
              <w:spacing w:line="44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3</w:t>
            </w:r>
          </w:p>
        </w:tc>
        <w:tc>
          <w:tcPr>
            <w:tcW w:w="373" w:type="pct"/>
            <w:vAlign w:val="center"/>
          </w:tcPr>
          <w:p>
            <w:pPr>
              <w:wordWrap w:val="0"/>
              <w:topLinePunct/>
              <w:adjustRightInd w:val="0"/>
              <w:snapToGrid w:val="0"/>
              <w:spacing w:line="440" w:lineRule="exact"/>
              <w:jc w:val="center"/>
              <w:rPr>
                <w:rFonts w:ascii="仿宋" w:hAnsi="仿宋" w:eastAsia="仿宋" w:cs="仿宋"/>
                <w:kern w:val="0"/>
                <w:szCs w:val="21"/>
                <w:highlight w:val="none"/>
              </w:rPr>
            </w:pPr>
            <w:r>
              <w:rPr>
                <w:rFonts w:hint="eastAsia" w:ascii="仿宋" w:hAnsi="仿宋" w:eastAsia="仿宋" w:cs="仿宋"/>
                <w:color w:val="000000"/>
                <w:kern w:val="0"/>
                <w:szCs w:val="21"/>
                <w:highlight w:val="none"/>
              </w:rPr>
              <w:t>企业综合实力</w:t>
            </w:r>
          </w:p>
        </w:tc>
        <w:tc>
          <w:tcPr>
            <w:tcW w:w="466" w:type="pct"/>
            <w:vAlign w:val="center"/>
          </w:tcPr>
          <w:p>
            <w:pPr>
              <w:wordWrap w:val="0"/>
              <w:topLinePunct/>
              <w:adjustRightInd w:val="0"/>
              <w:snapToGrid w:val="0"/>
              <w:spacing w:line="44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30</w:t>
            </w:r>
          </w:p>
        </w:tc>
        <w:tc>
          <w:tcPr>
            <w:tcW w:w="3910" w:type="pct"/>
            <w:vAlign w:val="center"/>
          </w:tcPr>
          <w:p>
            <w:pPr>
              <w:wordWrap w:val="0"/>
              <w:topLinePunct/>
              <w:adjustRightInd w:val="0"/>
              <w:snapToGrid w:val="0"/>
              <w:spacing w:line="440" w:lineRule="exact"/>
              <w:jc w:val="left"/>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rPr>
              <w:t>1、投标人具有省级及以上重点企业研究院的，得6分，具有省级企业研究院的，得3分</w:t>
            </w:r>
            <w:r>
              <w:rPr>
                <w:rFonts w:hint="eastAsia" w:ascii="仿宋" w:hAnsi="仿宋" w:eastAsia="仿宋" w:cs="仿宋"/>
                <w:kern w:val="0"/>
                <w:szCs w:val="21"/>
                <w:highlight w:val="none"/>
                <w:lang w:eastAsia="zh-CN"/>
              </w:rPr>
              <w:t>，</w:t>
            </w:r>
            <w:r>
              <w:rPr>
                <w:rFonts w:hint="eastAsia" w:ascii="仿宋" w:hAnsi="仿宋" w:eastAsia="仿宋" w:cs="仿宋"/>
                <w:kern w:val="0"/>
                <w:szCs w:val="21"/>
                <w:highlight w:val="none"/>
              </w:rPr>
              <w:t>其他不得分。</w:t>
            </w:r>
            <w:r>
              <w:rPr>
                <w:rFonts w:hint="eastAsia" w:ascii="仿宋" w:hAnsi="仿宋" w:eastAsia="仿宋" w:cs="仿宋"/>
                <w:b/>
                <w:bCs/>
                <w:kern w:val="0"/>
                <w:szCs w:val="21"/>
                <w:highlight w:val="none"/>
                <w:lang w:val="en-US" w:eastAsia="zh-CN"/>
              </w:rPr>
              <w:t>最多得6分。</w:t>
            </w:r>
          </w:p>
          <w:p>
            <w:pPr>
              <w:wordWrap w:val="0"/>
              <w:topLinePunct/>
              <w:adjustRightInd w:val="0"/>
              <w:snapToGrid w:val="0"/>
              <w:spacing w:line="440" w:lineRule="exact"/>
              <w:jc w:val="left"/>
              <w:rPr>
                <w:rFonts w:ascii="仿宋" w:hAnsi="仿宋" w:eastAsia="仿宋" w:cs="仿宋"/>
                <w:highlight w:val="none"/>
              </w:rPr>
            </w:pPr>
            <w:r>
              <w:rPr>
                <w:rFonts w:hint="eastAsia" w:ascii="仿宋" w:hAnsi="仿宋" w:eastAsia="仿宋" w:cs="仿宋"/>
                <w:b/>
                <w:bCs/>
                <w:kern w:val="0"/>
                <w:szCs w:val="21"/>
                <w:highlight w:val="none"/>
              </w:rPr>
              <w:t>注：提供相应证明材料并加盖公章。</w:t>
            </w:r>
          </w:p>
          <w:p>
            <w:pPr>
              <w:numPr>
                <w:ilvl w:val="0"/>
                <w:numId w:val="0"/>
              </w:numPr>
              <w:wordWrap w:val="0"/>
              <w:topLinePunct/>
              <w:adjustRightInd w:val="0"/>
              <w:snapToGrid w:val="0"/>
              <w:spacing w:line="440" w:lineRule="exact"/>
              <w:jc w:val="left"/>
              <w:rPr>
                <w:rFonts w:hint="default" w:ascii="仿宋" w:hAnsi="仿宋" w:eastAsia="仿宋" w:cs="仿宋"/>
                <w:b w:val="0"/>
                <w:bCs w:val="0"/>
                <w:kern w:val="0"/>
                <w:szCs w:val="21"/>
                <w:highlight w:val="none"/>
                <w:lang w:val="en-US" w:eastAsia="zh-CN"/>
              </w:rPr>
            </w:pPr>
            <w:r>
              <w:rPr>
                <w:rFonts w:hint="eastAsia" w:ascii="仿宋" w:hAnsi="仿宋" w:eastAsia="仿宋" w:cs="仿宋"/>
                <w:b w:val="0"/>
                <w:bCs w:val="0"/>
                <w:kern w:val="0"/>
                <w:szCs w:val="21"/>
                <w:highlight w:val="none"/>
                <w:lang w:val="en-US" w:eastAsia="zh-CN"/>
              </w:rPr>
              <w:t>2、投标人获得省级及以上科技进步奖的，二等奖的得4分，三等奖的得2分。</w:t>
            </w:r>
            <w:r>
              <w:rPr>
                <w:rFonts w:hint="eastAsia" w:ascii="仿宋" w:hAnsi="仿宋" w:eastAsia="仿宋" w:cs="仿宋"/>
                <w:b/>
                <w:bCs/>
                <w:kern w:val="0"/>
                <w:szCs w:val="21"/>
                <w:highlight w:val="none"/>
                <w:lang w:val="en-US" w:eastAsia="zh-CN"/>
              </w:rPr>
              <w:t>最多得4分。</w:t>
            </w:r>
          </w:p>
          <w:p>
            <w:pPr>
              <w:numPr>
                <w:ilvl w:val="0"/>
                <w:numId w:val="0"/>
              </w:numPr>
              <w:wordWrap w:val="0"/>
              <w:topLinePunct/>
              <w:adjustRightInd w:val="0"/>
              <w:snapToGrid w:val="0"/>
              <w:spacing w:line="440" w:lineRule="exact"/>
              <w:jc w:val="left"/>
              <w:rPr>
                <w:rFonts w:ascii="仿宋" w:hAnsi="仿宋" w:eastAsia="仿宋" w:cs="仿宋"/>
                <w:b/>
                <w:bCs/>
                <w:kern w:val="0"/>
                <w:szCs w:val="21"/>
                <w:highlight w:val="none"/>
              </w:rPr>
            </w:pPr>
            <w:r>
              <w:rPr>
                <w:rFonts w:hint="eastAsia" w:ascii="仿宋" w:hAnsi="仿宋" w:eastAsia="仿宋" w:cs="仿宋"/>
                <w:b/>
                <w:bCs/>
                <w:kern w:val="0"/>
                <w:szCs w:val="21"/>
                <w:highlight w:val="none"/>
              </w:rPr>
              <w:t>注：提供证书复印件并加盖公章。</w:t>
            </w:r>
          </w:p>
          <w:p>
            <w:pPr>
              <w:numPr>
                <w:ilvl w:val="0"/>
                <w:numId w:val="13"/>
              </w:numPr>
              <w:wordWrap w:val="0"/>
              <w:topLinePunct/>
              <w:adjustRightInd w:val="0"/>
              <w:snapToGrid w:val="0"/>
              <w:spacing w:line="440" w:lineRule="exact"/>
              <w:jc w:val="left"/>
              <w:rPr>
                <w:rFonts w:ascii="仿宋" w:hAnsi="仿宋" w:eastAsia="仿宋" w:cs="仿宋"/>
                <w:kern w:val="0"/>
                <w:szCs w:val="21"/>
                <w:highlight w:val="none"/>
              </w:rPr>
            </w:pPr>
            <w:r>
              <w:rPr>
                <w:rFonts w:hint="eastAsia" w:ascii="仿宋" w:hAnsi="仿宋" w:eastAsia="仿宋" w:cs="仿宋"/>
                <w:kern w:val="0"/>
                <w:szCs w:val="21"/>
                <w:highlight w:val="none"/>
              </w:rPr>
              <w:t>投标人主编或者参编燃气计量器具相关的国家标准、行业标准、国家计量技术规范的，每项得0.5分。</w:t>
            </w:r>
            <w:r>
              <w:rPr>
                <w:rFonts w:hint="eastAsia" w:ascii="仿宋" w:hAnsi="仿宋" w:eastAsia="仿宋" w:cs="仿宋"/>
                <w:b/>
                <w:bCs/>
                <w:kern w:val="0"/>
                <w:szCs w:val="21"/>
                <w:highlight w:val="none"/>
              </w:rPr>
              <w:t>最多得3分。</w:t>
            </w:r>
          </w:p>
          <w:p>
            <w:pPr>
              <w:wordWrap w:val="0"/>
              <w:topLinePunct/>
              <w:adjustRightInd w:val="0"/>
              <w:snapToGrid w:val="0"/>
              <w:spacing w:line="440" w:lineRule="exact"/>
              <w:jc w:val="left"/>
              <w:rPr>
                <w:rFonts w:ascii="仿宋" w:hAnsi="仿宋" w:eastAsia="仿宋" w:cs="仿宋"/>
                <w:highlight w:val="none"/>
              </w:rPr>
            </w:pPr>
            <w:r>
              <w:rPr>
                <w:rFonts w:hint="eastAsia" w:ascii="仿宋" w:hAnsi="仿宋" w:eastAsia="仿宋" w:cs="仿宋"/>
                <w:b/>
                <w:bCs/>
                <w:kern w:val="0"/>
                <w:szCs w:val="21"/>
                <w:highlight w:val="none"/>
              </w:rPr>
              <w:t>注：提供相应证明材料并加盖公章。</w:t>
            </w:r>
          </w:p>
          <w:p>
            <w:pPr>
              <w:wordWrap w:val="0"/>
              <w:topLinePunct/>
              <w:adjustRightInd w:val="0"/>
              <w:snapToGrid w:val="0"/>
              <w:spacing w:line="440" w:lineRule="exact"/>
              <w:jc w:val="left"/>
              <w:rPr>
                <w:rFonts w:ascii="仿宋" w:hAnsi="仿宋" w:eastAsia="仿宋" w:cs="仿宋"/>
                <w:kern w:val="0"/>
                <w:szCs w:val="21"/>
                <w:highlight w:val="none"/>
              </w:rPr>
            </w:pPr>
            <w:r>
              <w:rPr>
                <w:rFonts w:hint="eastAsia" w:ascii="仿宋" w:hAnsi="仿宋" w:eastAsia="仿宋" w:cs="仿宋"/>
                <w:kern w:val="0"/>
                <w:szCs w:val="21"/>
                <w:highlight w:val="none"/>
              </w:rPr>
              <w:t>5、投标人具有燃气表（含阀控部分）相关已授权发明专利每项得 1分，最高得10分。</w:t>
            </w:r>
            <w:r>
              <w:rPr>
                <w:rFonts w:hint="eastAsia" w:ascii="仿宋" w:hAnsi="仿宋" w:eastAsia="仿宋" w:cs="仿宋"/>
                <w:b/>
                <w:bCs/>
                <w:kern w:val="0"/>
                <w:szCs w:val="21"/>
                <w:highlight w:val="none"/>
              </w:rPr>
              <w:t>最多得10分。</w:t>
            </w:r>
          </w:p>
          <w:p>
            <w:pPr>
              <w:wordWrap w:val="0"/>
              <w:topLinePunct/>
              <w:adjustRightInd w:val="0"/>
              <w:snapToGrid w:val="0"/>
              <w:spacing w:line="440" w:lineRule="exact"/>
              <w:jc w:val="left"/>
              <w:rPr>
                <w:rFonts w:ascii="仿宋" w:hAnsi="仿宋" w:eastAsia="仿宋" w:cs="仿宋"/>
                <w:b/>
                <w:bCs/>
                <w:kern w:val="0"/>
                <w:szCs w:val="21"/>
                <w:highlight w:val="none"/>
              </w:rPr>
            </w:pPr>
            <w:r>
              <w:rPr>
                <w:rFonts w:hint="eastAsia" w:ascii="仿宋" w:hAnsi="仿宋" w:eastAsia="仿宋" w:cs="仿宋"/>
                <w:b/>
                <w:bCs/>
                <w:kern w:val="0"/>
                <w:szCs w:val="21"/>
                <w:highlight w:val="none"/>
              </w:rPr>
              <w:t>注：提供专利证书复印件加盖公章。</w:t>
            </w:r>
          </w:p>
          <w:p>
            <w:pPr>
              <w:numPr>
                <w:ilvl w:val="0"/>
                <w:numId w:val="13"/>
              </w:numPr>
              <w:wordWrap w:val="0"/>
              <w:topLinePunct/>
              <w:adjustRightInd w:val="0"/>
              <w:snapToGrid w:val="0"/>
              <w:spacing w:line="440" w:lineRule="exact"/>
              <w:jc w:val="left"/>
              <w:rPr>
                <w:rFonts w:ascii="仿宋" w:hAnsi="仿宋" w:eastAsia="仿宋" w:cs="仿宋"/>
                <w:kern w:val="0"/>
                <w:szCs w:val="21"/>
                <w:highlight w:val="none"/>
              </w:rPr>
            </w:pPr>
            <w:r>
              <w:rPr>
                <w:rFonts w:hint="eastAsia" w:ascii="仿宋" w:hAnsi="仿宋" w:eastAsia="仿宋" w:cs="仿宋"/>
                <w:kern w:val="0"/>
                <w:szCs w:val="21"/>
                <w:highlight w:val="none"/>
              </w:rPr>
              <w:t>具有有效的GB/T29490-2013知识产权管理体系认证证书,有效的GB/T19022-2003测量管理体系认证（AAA）证书，有效的ISO/IEC27001:2013信息安全管理体系认证证书，有效的GB/T 28827.1-2012信息技术服务标准符合性证书，每提供一个得1分。</w:t>
            </w:r>
            <w:r>
              <w:rPr>
                <w:rFonts w:hint="eastAsia" w:ascii="仿宋" w:hAnsi="仿宋" w:eastAsia="仿宋" w:cs="仿宋"/>
                <w:b/>
                <w:bCs/>
                <w:kern w:val="0"/>
                <w:szCs w:val="21"/>
                <w:highlight w:val="none"/>
              </w:rPr>
              <w:t>最多得4分。</w:t>
            </w:r>
          </w:p>
          <w:p>
            <w:pPr>
              <w:wordWrap w:val="0"/>
              <w:topLinePunct/>
              <w:adjustRightInd w:val="0"/>
              <w:snapToGrid w:val="0"/>
              <w:spacing w:line="440" w:lineRule="exact"/>
              <w:jc w:val="left"/>
              <w:rPr>
                <w:rFonts w:ascii="仿宋" w:hAnsi="仿宋" w:eastAsia="仿宋" w:cs="仿宋"/>
                <w:b/>
                <w:bCs/>
                <w:kern w:val="0"/>
                <w:szCs w:val="21"/>
                <w:highlight w:val="none"/>
              </w:rPr>
            </w:pPr>
            <w:r>
              <w:rPr>
                <w:rFonts w:hint="eastAsia" w:ascii="仿宋" w:hAnsi="仿宋" w:eastAsia="仿宋" w:cs="仿宋"/>
                <w:b/>
                <w:bCs/>
                <w:kern w:val="0"/>
                <w:szCs w:val="21"/>
                <w:highlight w:val="none"/>
              </w:rPr>
              <w:t>注：提供证书复印件并加盖公章。</w:t>
            </w:r>
          </w:p>
          <w:p>
            <w:pPr>
              <w:numPr>
                <w:ilvl w:val="0"/>
                <w:numId w:val="13"/>
              </w:numPr>
              <w:wordWrap w:val="0"/>
              <w:topLinePunct/>
              <w:adjustRightInd w:val="0"/>
              <w:snapToGrid w:val="0"/>
              <w:spacing w:line="440" w:lineRule="exact"/>
              <w:jc w:val="left"/>
              <w:rPr>
                <w:rFonts w:ascii="仿宋" w:hAnsi="仿宋" w:eastAsia="仿宋" w:cs="仿宋"/>
                <w:kern w:val="0"/>
                <w:szCs w:val="21"/>
                <w:highlight w:val="none"/>
              </w:rPr>
            </w:pPr>
            <w:r>
              <w:rPr>
                <w:rFonts w:hint="eastAsia" w:ascii="仿宋" w:hAnsi="仿宋" w:eastAsia="仿宋" w:cs="仿宋"/>
                <w:kern w:val="0"/>
                <w:szCs w:val="21"/>
                <w:highlight w:val="none"/>
              </w:rPr>
              <w:t>物联网燃气表取得国家火炬计划项目证书的得1分；</w:t>
            </w:r>
          </w:p>
          <w:p>
            <w:pPr>
              <w:pStyle w:val="2"/>
              <w:snapToGrid w:val="0"/>
              <w:spacing w:before="0" w:after="0" w:line="440" w:lineRule="exact"/>
              <w:rPr>
                <w:rFonts w:ascii="仿宋" w:hAnsi="仿宋" w:eastAsia="仿宋" w:cs="仿宋"/>
                <w:highlight w:val="none"/>
              </w:rPr>
            </w:pPr>
            <w:r>
              <w:rPr>
                <w:rFonts w:hint="eastAsia" w:ascii="仿宋" w:hAnsi="仿宋" w:eastAsia="仿宋" w:cs="仿宋"/>
                <w:kern w:val="0"/>
                <w:sz w:val="21"/>
                <w:szCs w:val="21"/>
                <w:highlight w:val="none"/>
              </w:rPr>
              <w:t>注：提供证书复印件并加盖公章。</w:t>
            </w:r>
          </w:p>
          <w:p>
            <w:pPr>
              <w:numPr>
                <w:ilvl w:val="0"/>
                <w:numId w:val="13"/>
              </w:numPr>
              <w:wordWrap w:val="0"/>
              <w:topLinePunct/>
              <w:adjustRightInd w:val="0"/>
              <w:snapToGrid w:val="0"/>
              <w:spacing w:line="440" w:lineRule="exact"/>
              <w:jc w:val="left"/>
              <w:rPr>
                <w:rFonts w:ascii="仿宋" w:hAnsi="仿宋" w:eastAsia="仿宋" w:cs="仿宋"/>
                <w:kern w:val="0"/>
                <w:szCs w:val="21"/>
                <w:highlight w:val="none"/>
              </w:rPr>
            </w:pPr>
            <w:r>
              <w:rPr>
                <w:rFonts w:hint="eastAsia" w:ascii="仿宋" w:hAnsi="仿宋" w:eastAsia="仿宋" w:cs="仿宋"/>
                <w:kern w:val="0"/>
                <w:szCs w:val="21"/>
                <w:highlight w:val="none"/>
              </w:rPr>
              <w:t>投标人获得中国城市燃气协会标准符合性证书的得1分；</w:t>
            </w:r>
          </w:p>
          <w:p>
            <w:pPr>
              <w:pStyle w:val="2"/>
              <w:snapToGrid w:val="0"/>
              <w:spacing w:before="0" w:after="0" w:line="440" w:lineRule="exact"/>
              <w:rPr>
                <w:rFonts w:ascii="仿宋" w:hAnsi="仿宋" w:eastAsia="仿宋" w:cs="仿宋"/>
                <w:highlight w:val="none"/>
              </w:rPr>
            </w:pPr>
            <w:r>
              <w:rPr>
                <w:rFonts w:hint="eastAsia" w:ascii="仿宋" w:hAnsi="仿宋" w:eastAsia="仿宋" w:cs="仿宋"/>
                <w:kern w:val="0"/>
                <w:sz w:val="21"/>
                <w:szCs w:val="21"/>
                <w:highlight w:val="none"/>
              </w:rPr>
              <w:t>注：提供证书复印件并加盖公章。</w:t>
            </w:r>
          </w:p>
          <w:p>
            <w:pPr>
              <w:numPr>
                <w:ilvl w:val="0"/>
                <w:numId w:val="13"/>
              </w:numPr>
              <w:wordWrap w:val="0"/>
              <w:topLinePunct/>
              <w:adjustRightInd w:val="0"/>
              <w:jc w:val="left"/>
              <w:rPr>
                <w:rFonts w:hint="eastAsia" w:ascii="仿宋" w:hAnsi="仿宋" w:eastAsia="仿宋" w:cs="仿宋"/>
                <w:kern w:val="0"/>
                <w:szCs w:val="21"/>
                <w:highlight w:val="none"/>
              </w:rPr>
            </w:pPr>
            <w:r>
              <w:rPr>
                <w:rFonts w:hint="eastAsia" w:ascii="仿宋" w:hAnsi="仿宋" w:eastAsia="仿宋" w:cs="仿宋"/>
                <w:kern w:val="0"/>
                <w:sz w:val="21"/>
                <w:szCs w:val="21"/>
                <w:highlight w:val="none"/>
              </w:rPr>
              <w:t>投标人具有专项计量授权证书（二检合一）的得1分。</w:t>
            </w:r>
          </w:p>
          <w:p>
            <w:pPr>
              <w:pStyle w:val="2"/>
              <w:adjustRightInd w:val="0"/>
              <w:snapToGrid w:val="0"/>
              <w:spacing w:before="0" w:after="0" w:line="440" w:lineRule="exact"/>
              <w:rPr>
                <w:rFonts w:ascii="仿宋" w:hAnsi="仿宋" w:eastAsia="仿宋" w:cs="仿宋"/>
                <w:sz w:val="21"/>
                <w:szCs w:val="21"/>
                <w:highlight w:val="none"/>
              </w:rPr>
            </w:pPr>
            <w:r>
              <w:rPr>
                <w:rFonts w:hint="eastAsia" w:ascii="仿宋" w:hAnsi="仿宋" w:eastAsia="仿宋" w:cs="仿宋"/>
                <w:sz w:val="21"/>
                <w:szCs w:val="21"/>
                <w:highlight w:val="none"/>
              </w:rPr>
              <w:t>注：以上证书和证明材料需提供原件复印件加盖公章并携带原件至现场核查，无原件不得分。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vAlign w:val="center"/>
          </w:tcPr>
          <w:p>
            <w:pPr>
              <w:wordWrap w:val="0"/>
              <w:topLinePunct/>
              <w:adjustRightInd w:val="0"/>
              <w:snapToGrid w:val="0"/>
              <w:spacing w:line="44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4</w:t>
            </w:r>
          </w:p>
        </w:tc>
        <w:tc>
          <w:tcPr>
            <w:tcW w:w="373" w:type="pct"/>
            <w:vAlign w:val="center"/>
          </w:tcPr>
          <w:p>
            <w:pPr>
              <w:wordWrap w:val="0"/>
              <w:topLinePunct/>
              <w:adjustRightInd w:val="0"/>
              <w:snapToGrid w:val="0"/>
              <w:spacing w:line="440" w:lineRule="exact"/>
              <w:jc w:val="center"/>
              <w:rPr>
                <w:rFonts w:ascii="仿宋" w:hAnsi="仿宋" w:eastAsia="仿宋" w:cs="仿宋"/>
                <w:kern w:val="0"/>
                <w:szCs w:val="21"/>
                <w:highlight w:val="none"/>
              </w:rPr>
            </w:pPr>
            <w:r>
              <w:rPr>
                <w:rFonts w:hint="eastAsia" w:ascii="仿宋" w:hAnsi="仿宋" w:eastAsia="仿宋" w:cs="仿宋"/>
                <w:color w:val="000000"/>
                <w:kern w:val="0"/>
                <w:szCs w:val="21"/>
                <w:highlight w:val="none"/>
              </w:rPr>
              <w:t>整体服务方案</w:t>
            </w:r>
          </w:p>
        </w:tc>
        <w:tc>
          <w:tcPr>
            <w:tcW w:w="466" w:type="pct"/>
            <w:vAlign w:val="center"/>
          </w:tcPr>
          <w:p>
            <w:pPr>
              <w:wordWrap w:val="0"/>
              <w:topLinePunct/>
              <w:adjustRightInd w:val="0"/>
              <w:snapToGrid w:val="0"/>
              <w:spacing w:line="44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10</w:t>
            </w:r>
          </w:p>
        </w:tc>
        <w:tc>
          <w:tcPr>
            <w:tcW w:w="3910" w:type="pct"/>
            <w:vAlign w:val="center"/>
          </w:tcPr>
          <w:p>
            <w:pPr>
              <w:wordWrap w:val="0"/>
              <w:topLinePunct/>
              <w:adjustRightInd w:val="0"/>
              <w:snapToGrid w:val="0"/>
              <w:spacing w:line="440" w:lineRule="exact"/>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技术支持及培训方案完善、供货方案可行有效、具备紧急供货能力，得10分；</w:t>
            </w:r>
          </w:p>
          <w:p>
            <w:pPr>
              <w:wordWrap w:val="0"/>
              <w:topLinePunct/>
              <w:adjustRightInd w:val="0"/>
              <w:snapToGrid w:val="0"/>
              <w:spacing w:line="440" w:lineRule="exact"/>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技术支持及培训方案较为完善、供货方案一般、具备紧急供货能力，得7分；</w:t>
            </w:r>
          </w:p>
          <w:p>
            <w:pPr>
              <w:wordWrap w:val="0"/>
              <w:topLinePunct/>
              <w:adjustRightInd w:val="0"/>
              <w:snapToGrid w:val="0"/>
              <w:spacing w:line="440" w:lineRule="exact"/>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技术支持及培训方案一般、供货方案一般、不具备紧急供货能力，</w:t>
            </w:r>
          </w:p>
          <w:p>
            <w:pPr>
              <w:wordWrap w:val="0"/>
              <w:topLinePunct/>
              <w:adjustRightInd w:val="0"/>
              <w:snapToGrid w:val="0"/>
              <w:spacing w:line="440" w:lineRule="exact"/>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得4分；</w:t>
            </w:r>
          </w:p>
          <w:p>
            <w:pPr>
              <w:wordWrap w:val="0"/>
              <w:topLinePunct/>
              <w:adjustRightInd w:val="0"/>
              <w:snapToGrid w:val="0"/>
              <w:spacing w:line="440" w:lineRule="exact"/>
              <w:jc w:val="left"/>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技术支持及培训方案差、供货方案不可行，得1分。</w:t>
            </w:r>
          </w:p>
          <w:p>
            <w:pPr>
              <w:wordWrap w:val="0"/>
              <w:topLinePunct/>
              <w:adjustRightInd w:val="0"/>
              <w:snapToGrid w:val="0"/>
              <w:spacing w:line="440" w:lineRule="exact"/>
              <w:jc w:val="left"/>
              <w:textAlignment w:val="center"/>
              <w:rPr>
                <w:rFonts w:ascii="仿宋" w:hAnsi="仿宋" w:eastAsia="仿宋" w:cs="仿宋"/>
                <w:szCs w:val="21"/>
                <w:highlight w:val="none"/>
              </w:rPr>
            </w:pPr>
            <w:r>
              <w:rPr>
                <w:rFonts w:hint="eastAsia" w:ascii="仿宋" w:hAnsi="仿宋" w:eastAsia="仿宋" w:cs="仿宋"/>
                <w:b/>
                <w:bCs/>
                <w:kern w:val="0"/>
                <w:szCs w:val="21"/>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vAlign w:val="center"/>
          </w:tcPr>
          <w:p>
            <w:pPr>
              <w:wordWrap w:val="0"/>
              <w:topLinePunct/>
              <w:adjustRightInd w:val="0"/>
              <w:snapToGrid w:val="0"/>
              <w:spacing w:line="44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5</w:t>
            </w:r>
          </w:p>
        </w:tc>
        <w:tc>
          <w:tcPr>
            <w:tcW w:w="373" w:type="pct"/>
            <w:vAlign w:val="center"/>
          </w:tcPr>
          <w:p>
            <w:pPr>
              <w:wordWrap w:val="0"/>
              <w:topLinePunct/>
              <w:adjustRightInd w:val="0"/>
              <w:snapToGrid w:val="0"/>
              <w:spacing w:line="44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售后服务</w:t>
            </w:r>
          </w:p>
        </w:tc>
        <w:tc>
          <w:tcPr>
            <w:tcW w:w="466" w:type="pct"/>
            <w:vAlign w:val="center"/>
          </w:tcPr>
          <w:p>
            <w:pPr>
              <w:wordWrap w:val="0"/>
              <w:topLinePunct/>
              <w:adjustRightInd w:val="0"/>
              <w:snapToGrid w:val="0"/>
              <w:spacing w:line="44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10</w:t>
            </w:r>
          </w:p>
        </w:tc>
        <w:tc>
          <w:tcPr>
            <w:tcW w:w="3910" w:type="pct"/>
            <w:vAlign w:val="center"/>
          </w:tcPr>
          <w:p>
            <w:pPr>
              <w:wordWrap w:val="0"/>
              <w:topLinePunct/>
              <w:adjustRightInd w:val="0"/>
              <w:snapToGrid w:val="0"/>
              <w:spacing w:line="440" w:lineRule="exact"/>
              <w:jc w:val="left"/>
              <w:rPr>
                <w:rFonts w:ascii="仿宋" w:hAnsi="仿宋" w:eastAsia="仿宋" w:cs="仿宋"/>
                <w:kern w:val="0"/>
                <w:szCs w:val="21"/>
                <w:highlight w:val="none"/>
              </w:rPr>
            </w:pPr>
            <w:r>
              <w:rPr>
                <w:rFonts w:hint="eastAsia" w:ascii="仿宋" w:hAnsi="仿宋" w:eastAsia="仿宋" w:cs="仿宋"/>
                <w:kern w:val="0"/>
                <w:szCs w:val="21"/>
                <w:highlight w:val="none"/>
              </w:rPr>
              <w:t>获得商品售后服务评价体系认证证书五星级评价，售后服务方案完善、售后服务响应及时、质保期承诺切实可行，得10分；</w:t>
            </w:r>
          </w:p>
          <w:p>
            <w:pPr>
              <w:wordWrap w:val="0"/>
              <w:topLinePunct/>
              <w:adjustRightInd w:val="0"/>
              <w:snapToGrid w:val="0"/>
              <w:spacing w:line="440" w:lineRule="exact"/>
              <w:jc w:val="left"/>
              <w:rPr>
                <w:rFonts w:ascii="仿宋" w:hAnsi="仿宋" w:eastAsia="仿宋" w:cs="仿宋"/>
                <w:highlight w:val="none"/>
              </w:rPr>
            </w:pPr>
            <w:r>
              <w:rPr>
                <w:rFonts w:hint="eastAsia" w:ascii="仿宋" w:hAnsi="仿宋" w:eastAsia="仿宋" w:cs="仿宋"/>
                <w:kern w:val="0"/>
                <w:szCs w:val="21"/>
                <w:highlight w:val="none"/>
              </w:rPr>
              <w:t>售后服务方案完善、售后服务响应较为及时、质保期承诺切实可行，得7分；</w:t>
            </w:r>
          </w:p>
          <w:p>
            <w:pPr>
              <w:wordWrap w:val="0"/>
              <w:topLinePunct/>
              <w:adjustRightInd w:val="0"/>
              <w:snapToGrid w:val="0"/>
              <w:spacing w:line="440" w:lineRule="exact"/>
              <w:jc w:val="left"/>
              <w:rPr>
                <w:rFonts w:ascii="仿宋" w:hAnsi="仿宋" w:eastAsia="仿宋" w:cs="仿宋"/>
                <w:kern w:val="0"/>
                <w:szCs w:val="21"/>
                <w:highlight w:val="none"/>
              </w:rPr>
            </w:pPr>
            <w:r>
              <w:rPr>
                <w:rFonts w:hint="eastAsia" w:ascii="仿宋" w:hAnsi="仿宋" w:eastAsia="仿宋" w:cs="仿宋"/>
                <w:kern w:val="0"/>
                <w:szCs w:val="21"/>
                <w:highlight w:val="none"/>
              </w:rPr>
              <w:t>售后服务方案一般、售后服务响应时间长、质保期承诺可行，得4分；</w:t>
            </w:r>
          </w:p>
          <w:p>
            <w:pPr>
              <w:wordWrap w:val="0"/>
              <w:topLinePunct/>
              <w:adjustRightInd w:val="0"/>
              <w:snapToGrid w:val="0"/>
              <w:spacing w:line="440" w:lineRule="exact"/>
              <w:jc w:val="left"/>
              <w:rPr>
                <w:rFonts w:ascii="仿宋" w:hAnsi="仿宋" w:eastAsia="仿宋" w:cs="仿宋"/>
                <w:kern w:val="0"/>
                <w:szCs w:val="21"/>
                <w:highlight w:val="none"/>
              </w:rPr>
            </w:pPr>
            <w:r>
              <w:rPr>
                <w:rFonts w:hint="eastAsia" w:ascii="仿宋" w:hAnsi="仿宋" w:eastAsia="仿宋" w:cs="仿宋"/>
                <w:kern w:val="0"/>
                <w:szCs w:val="21"/>
                <w:highlight w:val="none"/>
              </w:rPr>
              <w:t>售后服务方案差、售后服务响应时间长，质保期承诺不实际，得1分。</w:t>
            </w:r>
          </w:p>
          <w:p>
            <w:pPr>
              <w:wordWrap w:val="0"/>
              <w:topLinePunct/>
              <w:adjustRightInd w:val="0"/>
              <w:snapToGrid w:val="0"/>
              <w:spacing w:line="440" w:lineRule="exact"/>
              <w:jc w:val="left"/>
              <w:rPr>
                <w:rFonts w:ascii="仿宋" w:hAnsi="仿宋" w:eastAsia="仿宋" w:cs="仿宋"/>
                <w:highlight w:val="none"/>
              </w:rPr>
            </w:pPr>
            <w:r>
              <w:rPr>
                <w:rFonts w:hint="eastAsia" w:ascii="仿宋" w:hAnsi="仿宋" w:eastAsia="仿宋" w:cs="仿宋"/>
                <w:b/>
                <w:bCs/>
                <w:kern w:val="0"/>
                <w:szCs w:val="21"/>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 w:type="pct"/>
            <w:vAlign w:val="center"/>
          </w:tcPr>
          <w:p>
            <w:pPr>
              <w:wordWrap w:val="0"/>
              <w:topLinePunct/>
              <w:adjustRightInd w:val="0"/>
              <w:snapToGrid w:val="0"/>
              <w:spacing w:line="44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6</w:t>
            </w:r>
          </w:p>
        </w:tc>
        <w:tc>
          <w:tcPr>
            <w:tcW w:w="373" w:type="pct"/>
            <w:vAlign w:val="center"/>
          </w:tcPr>
          <w:p>
            <w:pPr>
              <w:wordWrap w:val="0"/>
              <w:topLinePunct/>
              <w:adjustRightInd w:val="0"/>
              <w:snapToGrid w:val="0"/>
              <w:spacing w:line="440" w:lineRule="exact"/>
              <w:jc w:val="center"/>
              <w:rPr>
                <w:rFonts w:ascii="仿宋" w:hAnsi="仿宋" w:eastAsia="仿宋" w:cs="仿宋"/>
                <w:kern w:val="0"/>
                <w:szCs w:val="21"/>
                <w:highlight w:val="none"/>
              </w:rPr>
            </w:pPr>
            <w:r>
              <w:rPr>
                <w:rFonts w:hint="eastAsia" w:ascii="仿宋" w:hAnsi="仿宋" w:eastAsia="仿宋" w:cs="仿宋"/>
                <w:color w:val="000000"/>
                <w:kern w:val="0"/>
                <w:szCs w:val="24"/>
                <w:highlight w:val="none"/>
              </w:rPr>
              <w:t>产品安全性</w:t>
            </w:r>
          </w:p>
        </w:tc>
        <w:tc>
          <w:tcPr>
            <w:tcW w:w="466" w:type="pct"/>
            <w:vAlign w:val="center"/>
          </w:tcPr>
          <w:p>
            <w:pPr>
              <w:wordWrap w:val="0"/>
              <w:topLinePunct/>
              <w:adjustRightInd w:val="0"/>
              <w:snapToGrid w:val="0"/>
              <w:spacing w:line="44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10</w:t>
            </w:r>
          </w:p>
        </w:tc>
        <w:tc>
          <w:tcPr>
            <w:tcW w:w="3910" w:type="pct"/>
            <w:vAlign w:val="center"/>
          </w:tcPr>
          <w:p>
            <w:pPr>
              <w:pStyle w:val="2"/>
              <w:snapToGrid w:val="0"/>
              <w:spacing w:before="0" w:after="0" w:line="440" w:lineRule="exact"/>
              <w:rPr>
                <w:rFonts w:ascii="仿宋" w:hAnsi="仿宋" w:eastAsia="仿宋" w:cs="仿宋"/>
                <w:b w:val="0"/>
                <w:bCs w:val="0"/>
                <w:kern w:val="0"/>
                <w:sz w:val="21"/>
                <w:szCs w:val="21"/>
                <w:highlight w:val="none"/>
              </w:rPr>
            </w:pPr>
            <w:r>
              <w:rPr>
                <w:rFonts w:hint="eastAsia" w:ascii="仿宋" w:hAnsi="仿宋" w:eastAsia="仿宋" w:cs="仿宋"/>
                <w:b w:val="0"/>
                <w:bCs w:val="0"/>
                <w:kern w:val="0"/>
                <w:sz w:val="21"/>
                <w:szCs w:val="21"/>
                <w:highlight w:val="none"/>
              </w:rPr>
              <w:t>1、投标产品获得国家工业和信息化部颁发的无线电发射设备型号核准证的得3分。</w:t>
            </w:r>
          </w:p>
          <w:p>
            <w:pPr>
              <w:pStyle w:val="2"/>
              <w:snapToGrid w:val="0"/>
              <w:spacing w:before="0" w:after="0" w:line="440" w:lineRule="exact"/>
              <w:rPr>
                <w:rFonts w:ascii="仿宋" w:hAnsi="仿宋" w:eastAsia="仿宋" w:cs="仿宋"/>
                <w:highlight w:val="none"/>
              </w:rPr>
            </w:pPr>
            <w:r>
              <w:rPr>
                <w:rFonts w:hint="eastAsia" w:ascii="仿宋" w:hAnsi="仿宋" w:eastAsia="仿宋" w:cs="仿宋"/>
                <w:kern w:val="0"/>
                <w:sz w:val="21"/>
                <w:szCs w:val="21"/>
                <w:highlight w:val="none"/>
              </w:rPr>
              <w:t>注：提供证书复印件并加盖公章。</w:t>
            </w:r>
          </w:p>
          <w:p>
            <w:pPr>
              <w:pStyle w:val="2"/>
              <w:snapToGrid w:val="0"/>
              <w:spacing w:before="0" w:after="0" w:line="440" w:lineRule="exact"/>
              <w:rPr>
                <w:rFonts w:ascii="仿宋" w:hAnsi="仿宋" w:eastAsia="仿宋" w:cs="仿宋"/>
                <w:b w:val="0"/>
                <w:bCs w:val="0"/>
                <w:kern w:val="0"/>
                <w:sz w:val="21"/>
                <w:szCs w:val="21"/>
                <w:highlight w:val="none"/>
              </w:rPr>
            </w:pPr>
            <w:r>
              <w:rPr>
                <w:rFonts w:hint="eastAsia" w:ascii="仿宋" w:hAnsi="仿宋" w:eastAsia="仿宋" w:cs="仿宋"/>
                <w:b w:val="0"/>
                <w:bCs w:val="0"/>
                <w:kern w:val="0"/>
                <w:sz w:val="21"/>
                <w:szCs w:val="21"/>
                <w:highlight w:val="none"/>
              </w:rPr>
              <w:t>2、投标人实验室通过国际CNAS认可的检测校准实验室并出具认可证书，得2分；实验室通过省级认证得1分；</w:t>
            </w:r>
            <w:r>
              <w:rPr>
                <w:rFonts w:hint="eastAsia" w:ascii="仿宋" w:hAnsi="仿宋" w:eastAsia="仿宋" w:cs="仿宋"/>
                <w:b/>
                <w:bCs/>
                <w:kern w:val="0"/>
                <w:sz w:val="21"/>
                <w:szCs w:val="21"/>
                <w:highlight w:val="none"/>
              </w:rPr>
              <w:t>最多得2分。</w:t>
            </w:r>
          </w:p>
          <w:p>
            <w:pPr>
              <w:pStyle w:val="2"/>
              <w:snapToGrid w:val="0"/>
              <w:spacing w:before="0" w:after="0" w:line="440" w:lineRule="exact"/>
              <w:rPr>
                <w:rFonts w:ascii="仿宋" w:hAnsi="仿宋" w:eastAsia="仿宋" w:cs="仿宋"/>
                <w:kern w:val="0"/>
                <w:sz w:val="21"/>
                <w:szCs w:val="21"/>
                <w:highlight w:val="none"/>
              </w:rPr>
            </w:pPr>
            <w:r>
              <w:rPr>
                <w:rFonts w:hint="eastAsia" w:ascii="仿宋" w:hAnsi="仿宋" w:eastAsia="仿宋" w:cs="仿宋"/>
                <w:kern w:val="0"/>
                <w:sz w:val="21"/>
                <w:szCs w:val="21"/>
                <w:highlight w:val="none"/>
              </w:rPr>
              <w:t>注：提供证书复印件并加盖公章。</w:t>
            </w:r>
          </w:p>
          <w:p>
            <w:pPr>
              <w:pStyle w:val="2"/>
              <w:snapToGrid w:val="0"/>
              <w:spacing w:before="0" w:after="0" w:line="440" w:lineRule="exact"/>
              <w:rPr>
                <w:rFonts w:ascii="仿宋" w:hAnsi="仿宋" w:eastAsia="仿宋" w:cs="仿宋"/>
                <w:b w:val="0"/>
                <w:bCs w:val="0"/>
                <w:kern w:val="0"/>
                <w:sz w:val="21"/>
                <w:szCs w:val="21"/>
                <w:highlight w:val="none"/>
              </w:rPr>
            </w:pPr>
            <w:r>
              <w:rPr>
                <w:rFonts w:hint="eastAsia" w:ascii="仿宋" w:hAnsi="仿宋" w:eastAsia="仿宋" w:cs="仿宋"/>
                <w:b w:val="0"/>
                <w:bCs w:val="0"/>
                <w:kern w:val="0"/>
                <w:sz w:val="21"/>
                <w:szCs w:val="21"/>
                <w:highlight w:val="none"/>
              </w:rPr>
              <w:t>3、投标人出具满足《GB/T 22239-2019 信息安全技术网络安全登记保护基本要求》要求的网络安全等级保护保护测评报告，达到第三级及以上水平的得3分；</w:t>
            </w:r>
          </w:p>
          <w:p>
            <w:pPr>
              <w:pStyle w:val="2"/>
              <w:snapToGrid w:val="0"/>
              <w:spacing w:before="0" w:after="0" w:line="440" w:lineRule="exact"/>
              <w:rPr>
                <w:rFonts w:ascii="仿宋" w:hAnsi="仿宋" w:eastAsia="仿宋" w:cs="仿宋"/>
                <w:highlight w:val="none"/>
              </w:rPr>
            </w:pPr>
            <w:r>
              <w:rPr>
                <w:rFonts w:hint="eastAsia" w:ascii="仿宋" w:hAnsi="仿宋" w:eastAsia="仿宋" w:cs="仿宋"/>
                <w:kern w:val="0"/>
                <w:sz w:val="21"/>
                <w:szCs w:val="21"/>
                <w:highlight w:val="none"/>
              </w:rPr>
              <w:t>注：提供报告复印件并加盖公章。</w:t>
            </w:r>
          </w:p>
          <w:p>
            <w:pPr>
              <w:pStyle w:val="2"/>
              <w:snapToGrid w:val="0"/>
              <w:spacing w:before="0" w:after="0" w:line="440" w:lineRule="exact"/>
              <w:rPr>
                <w:rFonts w:ascii="仿宋" w:hAnsi="仿宋" w:eastAsia="仿宋" w:cs="仿宋"/>
                <w:b w:val="0"/>
                <w:bCs w:val="0"/>
                <w:kern w:val="0"/>
                <w:sz w:val="21"/>
                <w:szCs w:val="21"/>
                <w:highlight w:val="none"/>
              </w:rPr>
            </w:pPr>
            <w:r>
              <w:rPr>
                <w:rFonts w:hint="eastAsia" w:ascii="仿宋" w:hAnsi="仿宋" w:eastAsia="仿宋" w:cs="仿宋"/>
                <w:b w:val="0"/>
                <w:bCs w:val="0"/>
                <w:kern w:val="0"/>
                <w:sz w:val="21"/>
                <w:szCs w:val="21"/>
                <w:highlight w:val="none"/>
              </w:rPr>
              <w:t>4、出具由第三方软件评测机构出具的物联网表管理系统性能报告（评测数据量应不少于5万台物联网表具，响应时间小于10s）的得2分。</w:t>
            </w:r>
          </w:p>
          <w:p>
            <w:pPr>
              <w:pStyle w:val="2"/>
              <w:snapToGrid w:val="0"/>
              <w:spacing w:before="0" w:after="0" w:line="440" w:lineRule="exact"/>
              <w:rPr>
                <w:rFonts w:ascii="仿宋" w:hAnsi="仿宋" w:eastAsia="仿宋" w:cs="仿宋"/>
                <w:kern w:val="0"/>
                <w:sz w:val="21"/>
                <w:szCs w:val="21"/>
                <w:highlight w:val="none"/>
              </w:rPr>
            </w:pPr>
            <w:r>
              <w:rPr>
                <w:rFonts w:hint="eastAsia" w:ascii="仿宋" w:hAnsi="仿宋" w:eastAsia="仿宋" w:cs="仿宋"/>
                <w:kern w:val="0"/>
                <w:sz w:val="21"/>
                <w:szCs w:val="21"/>
                <w:highlight w:val="none"/>
              </w:rPr>
              <w:t>注：提供报告复印件并加盖公章。</w:t>
            </w:r>
          </w:p>
          <w:p>
            <w:pPr>
              <w:rPr>
                <w:rFonts w:ascii="仿宋" w:hAnsi="仿宋" w:eastAsia="仿宋" w:cs="仿宋"/>
                <w:highlight w:val="none"/>
              </w:rPr>
            </w:pPr>
            <w:r>
              <w:rPr>
                <w:rFonts w:hint="eastAsia" w:ascii="仿宋" w:hAnsi="仿宋" w:eastAsia="仿宋" w:cs="仿宋"/>
                <w:b/>
                <w:bCs/>
                <w:szCs w:val="21"/>
                <w:highlight w:val="none"/>
              </w:rPr>
              <w:t>注：以上证书和证明材料需提供原件复印件加盖公章并携带原件至现场核查，无原件不得分。</w:t>
            </w:r>
          </w:p>
        </w:tc>
      </w:tr>
    </w:tbl>
    <w:p>
      <w:pPr>
        <w:wordWrap w:val="0"/>
        <w:topLinePunct/>
        <w:adjustRightInd w:val="0"/>
        <w:snapToGrid w:val="0"/>
        <w:spacing w:line="360" w:lineRule="auto"/>
        <w:jc w:val="left"/>
        <w:rPr>
          <w:rFonts w:ascii="仿宋" w:hAnsi="仿宋" w:eastAsia="仿宋" w:cs="仿宋"/>
          <w:b/>
          <w:bCs/>
          <w:kern w:val="0"/>
          <w:szCs w:val="21"/>
          <w:highlight w:val="none"/>
        </w:rPr>
      </w:pPr>
      <w:r>
        <w:rPr>
          <w:rFonts w:hint="eastAsia" w:ascii="仿宋" w:hAnsi="仿宋" w:eastAsia="仿宋" w:cs="仿宋"/>
          <w:b/>
          <w:bCs/>
          <w:kern w:val="0"/>
          <w:szCs w:val="21"/>
          <w:highlight w:val="none"/>
        </w:rPr>
        <w:t>注：以上投标人提供的证书、业绩等证明材料均需与投标人主体一致，非投标人或主体变更公证均不予认可。</w:t>
      </w:r>
    </w:p>
    <w:p>
      <w:pPr>
        <w:wordWrap w:val="0"/>
        <w:topLinePunct/>
        <w:rPr>
          <w:rFonts w:ascii="仿宋" w:hAnsi="仿宋" w:eastAsia="仿宋" w:cs="仿宋"/>
          <w:kern w:val="0"/>
          <w:sz w:val="36"/>
          <w:highlight w:val="none"/>
        </w:rPr>
      </w:pPr>
      <w:bookmarkStart w:id="132" w:name="_Toc498003958"/>
      <w:r>
        <w:rPr>
          <w:rFonts w:hint="eastAsia" w:ascii="仿宋" w:hAnsi="仿宋" w:eastAsia="仿宋" w:cs="仿宋"/>
          <w:kern w:val="0"/>
          <w:sz w:val="36"/>
          <w:highlight w:val="none"/>
        </w:rPr>
        <w:br w:type="page"/>
      </w:r>
    </w:p>
    <w:p>
      <w:pPr>
        <w:pStyle w:val="2"/>
        <w:keepNext w:val="0"/>
        <w:keepLines w:val="0"/>
        <w:wordWrap w:val="0"/>
        <w:topLinePunct/>
        <w:jc w:val="center"/>
        <w:rPr>
          <w:rFonts w:ascii="仿宋" w:hAnsi="仿宋" w:eastAsia="仿宋" w:cs="仿宋"/>
          <w:kern w:val="0"/>
          <w:sz w:val="36"/>
          <w:highlight w:val="none"/>
        </w:rPr>
      </w:pPr>
      <w:r>
        <w:rPr>
          <w:rFonts w:hint="eastAsia" w:ascii="仿宋" w:hAnsi="仿宋" w:eastAsia="仿宋" w:cs="仿宋"/>
          <w:kern w:val="0"/>
          <w:sz w:val="36"/>
          <w:highlight w:val="none"/>
        </w:rPr>
        <w:t>第六章 投标文件格式</w:t>
      </w:r>
      <w:bookmarkEnd w:id="132"/>
    </w:p>
    <w:p>
      <w:pPr>
        <w:wordWrap w:val="0"/>
        <w:topLinePunct/>
        <w:jc w:val="center"/>
        <w:rPr>
          <w:rFonts w:ascii="仿宋" w:hAnsi="仿宋" w:eastAsia="仿宋" w:cs="仿宋"/>
          <w:b/>
          <w:kern w:val="0"/>
          <w:sz w:val="36"/>
          <w:highlight w:val="none"/>
        </w:rPr>
      </w:pPr>
    </w:p>
    <w:p>
      <w:pPr>
        <w:wordWrap w:val="0"/>
        <w:topLinePunct/>
        <w:jc w:val="center"/>
        <w:rPr>
          <w:rFonts w:ascii="仿宋" w:hAnsi="仿宋" w:eastAsia="仿宋" w:cs="仿宋"/>
          <w:b/>
          <w:kern w:val="0"/>
          <w:szCs w:val="21"/>
          <w:highlight w:val="none"/>
        </w:rPr>
      </w:pPr>
    </w:p>
    <w:p>
      <w:pPr>
        <w:wordWrap w:val="0"/>
        <w:topLinePunct/>
        <w:jc w:val="center"/>
        <w:rPr>
          <w:rFonts w:ascii="仿宋" w:hAnsi="仿宋" w:eastAsia="仿宋" w:cs="仿宋"/>
          <w:b/>
          <w:kern w:val="0"/>
          <w:sz w:val="22"/>
          <w:szCs w:val="21"/>
          <w:highlight w:val="none"/>
        </w:rPr>
      </w:pPr>
    </w:p>
    <w:p>
      <w:pPr>
        <w:wordWrap w:val="0"/>
        <w:topLinePunct/>
        <w:jc w:val="center"/>
        <w:rPr>
          <w:rFonts w:ascii="仿宋" w:hAnsi="仿宋" w:eastAsia="仿宋" w:cs="仿宋"/>
          <w:b/>
          <w:kern w:val="0"/>
          <w:sz w:val="72"/>
          <w:highlight w:val="none"/>
        </w:rPr>
      </w:pPr>
      <w:r>
        <w:rPr>
          <w:rFonts w:hint="eastAsia" w:ascii="仿宋" w:hAnsi="仿宋" w:eastAsia="仿宋" w:cs="仿宋"/>
          <w:b/>
          <w:kern w:val="0"/>
          <w:sz w:val="72"/>
          <w:highlight w:val="none"/>
        </w:rPr>
        <w:t>投  标  文  件</w:t>
      </w:r>
    </w:p>
    <w:p>
      <w:pPr>
        <w:wordWrap w:val="0"/>
        <w:topLinePunct/>
        <w:jc w:val="center"/>
        <w:rPr>
          <w:rFonts w:ascii="仿宋" w:hAnsi="仿宋" w:eastAsia="仿宋" w:cs="仿宋"/>
          <w:b/>
          <w:kern w:val="0"/>
          <w:sz w:val="72"/>
          <w:highlight w:val="none"/>
        </w:rPr>
      </w:pPr>
    </w:p>
    <w:p>
      <w:pPr>
        <w:wordWrap w:val="0"/>
        <w:topLinePunct/>
        <w:jc w:val="center"/>
        <w:rPr>
          <w:rFonts w:ascii="仿宋" w:hAnsi="仿宋" w:eastAsia="仿宋" w:cs="仿宋"/>
          <w:b/>
          <w:kern w:val="0"/>
          <w:sz w:val="72"/>
          <w:highlight w:val="none"/>
        </w:rPr>
      </w:pPr>
    </w:p>
    <w:p>
      <w:pPr>
        <w:wordWrap w:val="0"/>
        <w:topLinePunct/>
        <w:jc w:val="center"/>
        <w:rPr>
          <w:rFonts w:ascii="仿宋" w:hAnsi="仿宋" w:eastAsia="仿宋" w:cs="仿宋"/>
          <w:b/>
          <w:kern w:val="0"/>
          <w:sz w:val="36"/>
          <w:highlight w:val="none"/>
        </w:rPr>
      </w:pPr>
    </w:p>
    <w:p>
      <w:pPr>
        <w:wordWrap w:val="0"/>
        <w:topLinePunct/>
        <w:jc w:val="center"/>
        <w:rPr>
          <w:rFonts w:ascii="仿宋" w:hAnsi="仿宋" w:eastAsia="仿宋" w:cs="仿宋"/>
          <w:b/>
          <w:kern w:val="0"/>
          <w:sz w:val="36"/>
          <w:highlight w:val="none"/>
        </w:rPr>
      </w:pPr>
    </w:p>
    <w:p>
      <w:pPr>
        <w:wordWrap w:val="0"/>
        <w:topLinePunct/>
        <w:jc w:val="center"/>
        <w:rPr>
          <w:rFonts w:ascii="仿宋" w:hAnsi="仿宋" w:eastAsia="仿宋" w:cs="仿宋"/>
          <w:b/>
          <w:kern w:val="0"/>
          <w:sz w:val="36"/>
          <w:highlight w:val="none"/>
        </w:rPr>
      </w:pPr>
    </w:p>
    <w:p>
      <w:pPr>
        <w:wordWrap w:val="0"/>
        <w:topLinePunct/>
        <w:ind w:firstLine="1084" w:firstLineChars="300"/>
        <w:rPr>
          <w:rFonts w:ascii="仿宋" w:hAnsi="仿宋" w:eastAsia="仿宋" w:cs="仿宋"/>
          <w:kern w:val="0"/>
          <w:sz w:val="36"/>
          <w:szCs w:val="36"/>
          <w:highlight w:val="none"/>
        </w:rPr>
      </w:pPr>
      <w:r>
        <w:rPr>
          <w:rFonts w:hint="eastAsia" w:ascii="仿宋" w:hAnsi="仿宋" w:eastAsia="仿宋" w:cs="仿宋"/>
          <w:b/>
          <w:kern w:val="0"/>
          <w:sz w:val="36"/>
          <w:highlight w:val="none"/>
        </w:rPr>
        <w:t>项 目 名 称：</w:t>
      </w:r>
    </w:p>
    <w:p>
      <w:pPr>
        <w:wordWrap w:val="0"/>
        <w:topLinePunct/>
        <w:ind w:firstLine="1084" w:firstLineChars="300"/>
        <w:rPr>
          <w:rFonts w:ascii="仿宋" w:hAnsi="仿宋" w:eastAsia="仿宋" w:cs="仿宋"/>
          <w:b/>
          <w:kern w:val="0"/>
          <w:sz w:val="36"/>
          <w:highlight w:val="none"/>
          <w:u w:val="single"/>
        </w:rPr>
      </w:pPr>
      <w:r>
        <w:rPr>
          <w:rFonts w:hint="eastAsia" w:ascii="仿宋" w:hAnsi="仿宋" w:eastAsia="仿宋" w:cs="仿宋"/>
          <w:b/>
          <w:kern w:val="0"/>
          <w:sz w:val="36"/>
          <w:highlight w:val="none"/>
        </w:rPr>
        <w:t>编       号：</w:t>
      </w:r>
    </w:p>
    <w:p>
      <w:pPr>
        <w:wordWrap w:val="0"/>
        <w:topLinePunct/>
        <w:ind w:firstLine="1084" w:firstLineChars="300"/>
        <w:rPr>
          <w:rFonts w:ascii="仿宋" w:hAnsi="仿宋" w:eastAsia="仿宋" w:cs="仿宋"/>
          <w:b/>
          <w:kern w:val="0"/>
          <w:sz w:val="36"/>
          <w:highlight w:val="none"/>
          <w:u w:val="single"/>
        </w:rPr>
      </w:pPr>
      <w:r>
        <w:rPr>
          <w:rFonts w:hint="eastAsia" w:ascii="仿宋" w:hAnsi="仿宋" w:eastAsia="仿宋" w:cs="仿宋"/>
          <w:b/>
          <w:kern w:val="0"/>
          <w:sz w:val="36"/>
          <w:highlight w:val="none"/>
        </w:rPr>
        <w:t>投标人名称 ：</w:t>
      </w:r>
      <w:r>
        <w:rPr>
          <w:rFonts w:hint="eastAsia" w:ascii="仿宋" w:hAnsi="仿宋" w:eastAsia="仿宋" w:cs="仿宋"/>
          <w:b/>
          <w:kern w:val="0"/>
          <w:sz w:val="36"/>
          <w:highlight w:val="none"/>
          <w:u w:val="single"/>
        </w:rPr>
        <w:t xml:space="preserve">                       </w:t>
      </w:r>
    </w:p>
    <w:p>
      <w:pPr>
        <w:wordWrap w:val="0"/>
        <w:topLinePunct/>
        <w:ind w:firstLine="1084" w:firstLineChars="300"/>
        <w:rPr>
          <w:rFonts w:ascii="仿宋" w:hAnsi="仿宋" w:eastAsia="仿宋" w:cs="仿宋"/>
          <w:b/>
          <w:kern w:val="0"/>
          <w:sz w:val="36"/>
          <w:highlight w:val="none"/>
        </w:rPr>
      </w:pPr>
      <w:r>
        <w:rPr>
          <w:rFonts w:hint="eastAsia" w:ascii="仿宋" w:hAnsi="仿宋" w:eastAsia="仿宋" w:cs="仿宋"/>
          <w:b/>
          <w:kern w:val="0"/>
          <w:sz w:val="36"/>
          <w:highlight w:val="none"/>
        </w:rPr>
        <w:t>日      期 ：</w:t>
      </w:r>
      <w:r>
        <w:rPr>
          <w:rFonts w:hint="eastAsia" w:ascii="仿宋" w:hAnsi="仿宋" w:eastAsia="仿宋" w:cs="仿宋"/>
          <w:b/>
          <w:kern w:val="0"/>
          <w:sz w:val="36"/>
          <w:highlight w:val="none"/>
          <w:u w:val="single"/>
        </w:rPr>
        <w:t xml:space="preserve">                       </w:t>
      </w:r>
    </w:p>
    <w:p>
      <w:pPr>
        <w:wordWrap w:val="0"/>
        <w:topLinePunct/>
        <w:spacing w:line="440" w:lineRule="exact"/>
        <w:rPr>
          <w:rFonts w:ascii="仿宋" w:hAnsi="仿宋" w:eastAsia="仿宋" w:cs="仿宋"/>
          <w:kern w:val="0"/>
          <w:sz w:val="24"/>
          <w:highlight w:val="none"/>
        </w:rPr>
      </w:pPr>
    </w:p>
    <w:p>
      <w:pPr>
        <w:wordWrap w:val="0"/>
        <w:topLinePunct/>
        <w:adjustRightInd w:val="0"/>
        <w:snapToGrid w:val="0"/>
        <w:spacing w:line="360" w:lineRule="auto"/>
        <w:jc w:val="left"/>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lang w:val="zh-CN"/>
        </w:rPr>
        <w:t>说明：</w:t>
      </w:r>
    </w:p>
    <w:p>
      <w:pPr>
        <w:wordWrap w:val="0"/>
        <w:topLinePunct/>
        <w:adjustRightInd w:val="0"/>
        <w:snapToGrid w:val="0"/>
        <w:spacing w:line="360" w:lineRule="auto"/>
        <w:ind w:firstLine="562" w:firstLineChars="200"/>
        <w:jc w:val="left"/>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lang w:val="zh-CN"/>
        </w:rPr>
        <w:t>对本章所有的投标文件格式，投标人可根据自身情况进行补充和修改，但补充和修改不得造成与本格式内容有实质性的违背。</w:t>
      </w:r>
    </w:p>
    <w:p>
      <w:pPr>
        <w:wordWrap w:val="0"/>
        <w:topLinePunct/>
        <w:spacing w:before="312" w:beforeLines="100" w:after="312" w:afterLines="100"/>
        <w:jc w:val="center"/>
        <w:rPr>
          <w:rFonts w:ascii="仿宋" w:hAnsi="仿宋" w:eastAsia="仿宋" w:cs="仿宋"/>
          <w:b/>
          <w:kern w:val="0"/>
          <w:szCs w:val="21"/>
          <w:highlight w:val="none"/>
        </w:rPr>
      </w:pPr>
      <w:r>
        <w:rPr>
          <w:rFonts w:hint="eastAsia" w:ascii="仿宋" w:hAnsi="仿宋" w:eastAsia="仿宋" w:cs="仿宋"/>
          <w:kern w:val="0"/>
          <w:sz w:val="24"/>
          <w:highlight w:val="none"/>
        </w:rPr>
        <w:br w:type="page"/>
      </w:r>
      <w:r>
        <w:rPr>
          <w:rFonts w:hint="eastAsia" w:ascii="仿宋" w:hAnsi="仿宋" w:eastAsia="仿宋" w:cs="仿宋"/>
          <w:b/>
          <w:kern w:val="0"/>
          <w:szCs w:val="21"/>
          <w:highlight w:val="none"/>
        </w:rPr>
        <w:t>评分索引表</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8"/>
        <w:gridCol w:w="3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pStyle w:val="53"/>
              <w:shd w:val="clear" w:color="auto" w:fill="FFFFFF"/>
              <w:wordWrap w:val="0"/>
              <w:topLinePunct/>
              <w:adjustRightInd w:val="0"/>
              <w:snapToGrid w:val="0"/>
              <w:ind w:firstLine="0" w:firstLineChars="0"/>
              <w:jc w:val="center"/>
              <w:rPr>
                <w:rFonts w:ascii="仿宋" w:hAnsi="仿宋" w:eastAsia="仿宋" w:cs="仿宋"/>
                <w:b/>
                <w:bCs/>
                <w:sz w:val="21"/>
                <w:szCs w:val="21"/>
                <w:highlight w:val="none"/>
              </w:rPr>
            </w:pPr>
            <w:r>
              <w:rPr>
                <w:rFonts w:hint="eastAsia" w:ascii="仿宋" w:hAnsi="仿宋" w:eastAsia="仿宋" w:cs="仿宋"/>
                <w:b/>
                <w:sz w:val="21"/>
                <w:szCs w:val="21"/>
                <w:highlight w:val="none"/>
              </w:rPr>
              <w:t>评分项目</w:t>
            </w:r>
          </w:p>
        </w:tc>
        <w:tc>
          <w:tcPr>
            <w:tcW w:w="1931"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b/>
                <w:kern w:val="0"/>
                <w:szCs w:val="21"/>
                <w:highlight w:val="none"/>
              </w:rPr>
            </w:pPr>
            <w:r>
              <w:rPr>
                <w:rFonts w:hint="eastAsia" w:ascii="仿宋" w:hAnsi="仿宋" w:eastAsia="仿宋" w:cs="仿宋"/>
                <w:b/>
                <w:kern w:val="0"/>
                <w:szCs w:val="21"/>
                <w:highlight w:val="none"/>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pStyle w:val="53"/>
              <w:shd w:val="clear" w:color="auto" w:fill="FFFFFF"/>
              <w:wordWrap w:val="0"/>
              <w:topLinePunct/>
              <w:adjustRightInd w:val="0"/>
              <w:snapToGrid w:val="0"/>
              <w:ind w:firstLine="0" w:firstLineChars="0"/>
              <w:jc w:val="center"/>
              <w:rPr>
                <w:rFonts w:ascii="仿宋" w:hAnsi="仿宋" w:eastAsia="仿宋" w:cs="仿宋"/>
                <w:b/>
                <w:sz w:val="21"/>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b/>
                <w:kern w:val="0"/>
                <w:sz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pPr>
              <w:pStyle w:val="53"/>
              <w:shd w:val="clear" w:color="auto" w:fill="FFFFFF"/>
              <w:wordWrap w:val="0"/>
              <w:topLinePunct/>
              <w:adjustRightInd w:val="0"/>
              <w:snapToGrid w:val="0"/>
              <w:ind w:firstLine="0" w:firstLineChars="0"/>
              <w:jc w:val="center"/>
              <w:rPr>
                <w:rFonts w:ascii="仿宋" w:hAnsi="仿宋" w:eastAsia="仿宋" w:cs="仿宋"/>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pStyle w:val="53"/>
              <w:shd w:val="clear" w:color="auto" w:fill="FFFFFF"/>
              <w:wordWrap w:val="0"/>
              <w:topLinePunct/>
              <w:adjustRightInd w:val="0"/>
              <w:snapToGrid w:val="0"/>
              <w:ind w:firstLine="0" w:firstLineChars="0"/>
              <w:jc w:val="center"/>
              <w:rPr>
                <w:rFonts w:ascii="仿宋" w:hAnsi="仿宋" w:eastAsia="仿宋" w:cs="仿宋"/>
                <w:sz w:val="21"/>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pStyle w:val="53"/>
              <w:shd w:val="clear" w:color="auto" w:fill="FFFFFF"/>
              <w:wordWrap w:val="0"/>
              <w:topLinePunct/>
              <w:adjustRightInd w:val="0"/>
              <w:snapToGrid w:val="0"/>
              <w:ind w:firstLine="0" w:firstLineChars="0"/>
              <w:jc w:val="center"/>
              <w:rPr>
                <w:rFonts w:ascii="仿宋" w:hAnsi="仿宋" w:eastAsia="仿宋" w:cs="仿宋"/>
                <w:sz w:val="21"/>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pStyle w:val="53"/>
              <w:shd w:val="clear" w:color="auto" w:fill="FFFFFF"/>
              <w:wordWrap w:val="0"/>
              <w:topLinePunct/>
              <w:adjustRightInd w:val="0"/>
              <w:snapToGrid w:val="0"/>
              <w:ind w:firstLine="0" w:firstLineChars="0"/>
              <w:jc w:val="center"/>
              <w:rPr>
                <w:rFonts w:ascii="仿宋" w:hAnsi="仿宋" w:eastAsia="仿宋" w:cs="仿宋"/>
                <w:sz w:val="21"/>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pStyle w:val="53"/>
              <w:shd w:val="clear" w:color="auto" w:fill="FFFFFF"/>
              <w:wordWrap w:val="0"/>
              <w:topLinePunct/>
              <w:adjustRightInd w:val="0"/>
              <w:snapToGrid w:val="0"/>
              <w:ind w:firstLine="0" w:firstLineChars="0"/>
              <w:jc w:val="center"/>
              <w:rPr>
                <w:rFonts w:ascii="仿宋" w:hAnsi="仿宋" w:eastAsia="仿宋" w:cs="仿宋"/>
                <w:sz w:val="21"/>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pStyle w:val="53"/>
              <w:shd w:val="clear" w:color="auto" w:fill="FFFFFF"/>
              <w:wordWrap w:val="0"/>
              <w:topLinePunct/>
              <w:adjustRightInd w:val="0"/>
              <w:snapToGrid w:val="0"/>
              <w:ind w:firstLine="0" w:firstLineChars="0"/>
              <w:jc w:val="center"/>
              <w:rPr>
                <w:rFonts w:ascii="仿宋" w:hAnsi="仿宋" w:eastAsia="仿宋" w:cs="仿宋"/>
                <w:sz w:val="21"/>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pPr>
              <w:pStyle w:val="53"/>
              <w:shd w:val="clear" w:color="auto" w:fill="FFFFFF"/>
              <w:wordWrap w:val="0"/>
              <w:topLinePunct/>
              <w:adjustRightInd w:val="0"/>
              <w:snapToGrid w:val="0"/>
              <w:ind w:firstLine="0" w:firstLineChars="0"/>
              <w:jc w:val="center"/>
              <w:rPr>
                <w:rFonts w:ascii="仿宋" w:hAnsi="仿宋" w:eastAsia="仿宋" w:cs="仿宋"/>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pStyle w:val="53"/>
              <w:shd w:val="clear" w:color="auto" w:fill="FFFFFF"/>
              <w:wordWrap w:val="0"/>
              <w:topLinePunct/>
              <w:adjustRightInd w:val="0"/>
              <w:snapToGrid w:val="0"/>
              <w:ind w:firstLine="0" w:firstLineChars="0"/>
              <w:jc w:val="center"/>
              <w:rPr>
                <w:rFonts w:ascii="仿宋" w:hAnsi="仿宋" w:eastAsia="仿宋" w:cs="仿宋"/>
                <w:sz w:val="21"/>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pStyle w:val="53"/>
              <w:shd w:val="clear" w:color="auto" w:fill="FFFFFF"/>
              <w:wordWrap w:val="0"/>
              <w:topLinePunct/>
              <w:adjustRightInd w:val="0"/>
              <w:snapToGrid w:val="0"/>
              <w:ind w:firstLine="0" w:firstLineChars="0"/>
              <w:jc w:val="center"/>
              <w:rPr>
                <w:rFonts w:ascii="仿宋" w:hAnsi="仿宋" w:eastAsia="仿宋" w:cs="仿宋"/>
                <w:sz w:val="21"/>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pStyle w:val="53"/>
              <w:shd w:val="clear" w:color="auto" w:fill="FFFFFF"/>
              <w:wordWrap w:val="0"/>
              <w:topLinePunct/>
              <w:adjustRightInd w:val="0"/>
              <w:snapToGrid w:val="0"/>
              <w:ind w:firstLine="0" w:firstLineChars="0"/>
              <w:jc w:val="center"/>
              <w:rPr>
                <w:rFonts w:ascii="仿宋" w:hAnsi="仿宋" w:eastAsia="仿宋" w:cs="仿宋"/>
                <w:sz w:val="21"/>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pStyle w:val="53"/>
              <w:shd w:val="clear" w:color="auto" w:fill="FFFFFF"/>
              <w:wordWrap w:val="0"/>
              <w:topLinePunct/>
              <w:adjustRightInd w:val="0"/>
              <w:snapToGrid w:val="0"/>
              <w:ind w:firstLine="0" w:firstLineChars="0"/>
              <w:jc w:val="center"/>
              <w:rPr>
                <w:rFonts w:ascii="仿宋" w:hAnsi="仿宋" w:eastAsia="仿宋" w:cs="仿宋"/>
                <w:sz w:val="21"/>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pStyle w:val="53"/>
              <w:shd w:val="clear" w:color="auto" w:fill="FFFFFF"/>
              <w:wordWrap w:val="0"/>
              <w:topLinePunct/>
              <w:adjustRightInd w:val="0"/>
              <w:snapToGrid w:val="0"/>
              <w:ind w:firstLine="0" w:firstLineChars="0"/>
              <w:jc w:val="center"/>
              <w:rPr>
                <w:rFonts w:ascii="仿宋" w:hAnsi="仿宋" w:eastAsia="仿宋" w:cs="仿宋"/>
                <w:sz w:val="21"/>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pPr>
              <w:pStyle w:val="53"/>
              <w:shd w:val="clear" w:color="auto" w:fill="FFFFFF"/>
              <w:wordWrap w:val="0"/>
              <w:topLinePunct/>
              <w:adjustRightInd w:val="0"/>
              <w:snapToGrid w:val="0"/>
              <w:ind w:firstLine="0" w:firstLineChars="0"/>
              <w:jc w:val="center"/>
              <w:rPr>
                <w:rFonts w:ascii="仿宋" w:hAnsi="仿宋" w:eastAsia="仿宋" w:cs="仿宋"/>
                <w:b/>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pStyle w:val="53"/>
              <w:shd w:val="clear" w:color="auto" w:fill="FFFFFF"/>
              <w:wordWrap w:val="0"/>
              <w:topLinePunct/>
              <w:adjustRightInd w:val="0"/>
              <w:snapToGrid w:val="0"/>
              <w:ind w:firstLine="0" w:firstLineChars="0"/>
              <w:jc w:val="center"/>
              <w:rPr>
                <w:rFonts w:ascii="仿宋" w:hAnsi="仿宋" w:eastAsia="仿宋" w:cs="仿宋"/>
                <w:b/>
                <w:bCs/>
                <w:sz w:val="21"/>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pStyle w:val="53"/>
              <w:shd w:val="clear" w:color="auto" w:fill="FFFFFF"/>
              <w:wordWrap w:val="0"/>
              <w:topLinePunct/>
              <w:adjustRightInd w:val="0"/>
              <w:snapToGrid w:val="0"/>
              <w:ind w:firstLine="0" w:firstLineChars="0"/>
              <w:jc w:val="center"/>
              <w:rPr>
                <w:rFonts w:ascii="仿宋" w:hAnsi="仿宋" w:eastAsia="仿宋" w:cs="仿宋"/>
                <w:sz w:val="21"/>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pStyle w:val="53"/>
              <w:shd w:val="clear" w:color="auto" w:fill="FFFFFF"/>
              <w:wordWrap w:val="0"/>
              <w:topLinePunct/>
              <w:adjustRightInd w:val="0"/>
              <w:snapToGrid w:val="0"/>
              <w:ind w:firstLine="0" w:firstLineChars="0"/>
              <w:jc w:val="center"/>
              <w:rPr>
                <w:rFonts w:ascii="仿宋" w:hAnsi="仿宋" w:eastAsia="仿宋" w:cs="仿宋"/>
                <w:b/>
                <w:bCs/>
                <w:sz w:val="21"/>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pPr>
              <w:pStyle w:val="53"/>
              <w:shd w:val="clear" w:color="auto" w:fill="FFFFFF"/>
              <w:wordWrap w:val="0"/>
              <w:topLinePunct/>
              <w:adjustRightInd w:val="0"/>
              <w:snapToGrid w:val="0"/>
              <w:ind w:firstLine="0" w:firstLineChars="0"/>
              <w:jc w:val="center"/>
              <w:rPr>
                <w:rFonts w:ascii="仿宋" w:hAnsi="仿宋" w:eastAsia="仿宋" w:cs="仿宋"/>
                <w:b/>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pStyle w:val="53"/>
              <w:shd w:val="clear" w:color="auto" w:fill="FFFFFF"/>
              <w:wordWrap w:val="0"/>
              <w:topLinePunct/>
              <w:adjustRightInd w:val="0"/>
              <w:snapToGrid w:val="0"/>
              <w:ind w:firstLine="0" w:firstLineChars="0"/>
              <w:jc w:val="center"/>
              <w:rPr>
                <w:rFonts w:ascii="仿宋" w:hAnsi="仿宋" w:eastAsia="仿宋" w:cs="仿宋"/>
                <w:sz w:val="21"/>
                <w:szCs w:val="21"/>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068" w:type="pct"/>
            <w:tcBorders>
              <w:top w:val="single" w:color="auto" w:sz="4" w:space="0"/>
              <w:left w:val="single" w:color="auto" w:sz="4" w:space="0"/>
              <w:bottom w:val="single" w:color="auto" w:sz="4" w:space="0"/>
              <w:right w:val="single" w:color="auto" w:sz="4" w:space="0"/>
            </w:tcBorders>
            <w:vAlign w:val="center"/>
          </w:tcPr>
          <w:p>
            <w:pPr>
              <w:pStyle w:val="53"/>
              <w:shd w:val="clear" w:color="auto" w:fill="FFFFFF"/>
              <w:wordWrap w:val="0"/>
              <w:topLinePunct/>
              <w:adjustRightInd w:val="0"/>
              <w:snapToGrid w:val="0"/>
              <w:ind w:firstLine="0" w:firstLineChars="0"/>
              <w:jc w:val="center"/>
              <w:rPr>
                <w:rFonts w:ascii="仿宋" w:hAnsi="仿宋" w:eastAsia="仿宋" w:cs="仿宋"/>
                <w:sz w:val="21"/>
                <w:highlight w:val="none"/>
              </w:rPr>
            </w:pPr>
          </w:p>
        </w:tc>
        <w:tc>
          <w:tcPr>
            <w:tcW w:w="1931"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highlight w:val="none"/>
              </w:rPr>
            </w:pPr>
          </w:p>
        </w:tc>
      </w:tr>
    </w:tbl>
    <w:p>
      <w:pPr>
        <w:wordWrap w:val="0"/>
        <w:topLinePunct/>
        <w:rPr>
          <w:rFonts w:ascii="仿宋" w:hAnsi="仿宋" w:eastAsia="仿宋" w:cs="仿宋"/>
          <w:kern w:val="0"/>
          <w:highlight w:val="none"/>
        </w:rPr>
      </w:pPr>
    </w:p>
    <w:p>
      <w:pPr>
        <w:wordWrap w:val="0"/>
        <w:topLinePunct/>
        <w:spacing w:after="312" w:afterLines="100" w:line="360" w:lineRule="auto"/>
        <w:jc w:val="center"/>
        <w:rPr>
          <w:rFonts w:ascii="仿宋" w:hAnsi="仿宋" w:eastAsia="仿宋" w:cs="仿宋"/>
          <w:b/>
          <w:bCs/>
          <w:kern w:val="0"/>
          <w:szCs w:val="21"/>
          <w:highlight w:val="none"/>
        </w:rPr>
      </w:pPr>
      <w:r>
        <w:rPr>
          <w:rFonts w:hint="eastAsia" w:ascii="仿宋" w:hAnsi="仿宋" w:eastAsia="仿宋" w:cs="仿宋"/>
          <w:b/>
          <w:kern w:val="0"/>
          <w:sz w:val="36"/>
          <w:highlight w:val="none"/>
          <w:u w:val="single"/>
        </w:rPr>
        <w:br w:type="page"/>
      </w:r>
      <w:r>
        <w:rPr>
          <w:rFonts w:hint="eastAsia" w:ascii="仿宋" w:hAnsi="仿宋" w:eastAsia="仿宋" w:cs="仿宋"/>
          <w:b/>
          <w:bCs/>
          <w:kern w:val="0"/>
          <w:szCs w:val="21"/>
          <w:highlight w:val="none"/>
        </w:rPr>
        <w:t>投标主要文件目录</w:t>
      </w:r>
    </w:p>
    <w:p>
      <w:pPr>
        <w:wordWrap w:val="0"/>
        <w:topLinePunct/>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一、资格性和符合性检查响应对照表</w:t>
      </w:r>
    </w:p>
    <w:p>
      <w:pPr>
        <w:wordWrap w:val="0"/>
        <w:topLinePunct/>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二、资信证明文件</w:t>
      </w:r>
    </w:p>
    <w:p>
      <w:pPr>
        <w:wordWrap w:val="0"/>
        <w:topLinePunct/>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三、开标一览表</w:t>
      </w:r>
    </w:p>
    <w:p>
      <w:pPr>
        <w:wordWrap w:val="0"/>
        <w:topLinePunct/>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四、技术参数响应及偏离表</w:t>
      </w:r>
    </w:p>
    <w:p>
      <w:pPr>
        <w:wordWrap w:val="0"/>
        <w:topLinePunct/>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五、商务条款响应及偏离表</w:t>
      </w:r>
    </w:p>
    <w:p>
      <w:pPr>
        <w:wordWrap w:val="0"/>
        <w:topLinePunct/>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六、……</w:t>
      </w:r>
    </w:p>
    <w:p>
      <w:pPr>
        <w:wordWrap w:val="0"/>
        <w:topLinePunct/>
        <w:ind w:firstLine="420" w:firstLineChars="200"/>
        <w:rPr>
          <w:rFonts w:ascii="仿宋" w:hAnsi="仿宋" w:eastAsia="仿宋" w:cs="仿宋"/>
          <w:kern w:val="0"/>
          <w:szCs w:val="21"/>
          <w:highlight w:val="none"/>
        </w:rPr>
      </w:pPr>
    </w:p>
    <w:p>
      <w:pPr>
        <w:wordWrap w:val="0"/>
        <w:topLinePunct/>
        <w:jc w:val="left"/>
        <w:rPr>
          <w:rFonts w:ascii="仿宋" w:hAnsi="仿宋" w:eastAsia="仿宋" w:cs="仿宋"/>
          <w:b/>
          <w:kern w:val="0"/>
          <w:szCs w:val="21"/>
          <w:highlight w:val="none"/>
        </w:rPr>
      </w:pPr>
    </w:p>
    <w:p>
      <w:pPr>
        <w:wordWrap w:val="0"/>
        <w:topLinePunct/>
        <w:jc w:val="left"/>
        <w:rPr>
          <w:rFonts w:ascii="仿宋" w:hAnsi="仿宋" w:eastAsia="仿宋" w:cs="仿宋"/>
          <w:b/>
          <w:kern w:val="0"/>
          <w:szCs w:val="21"/>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wordWrap w:val="0"/>
        <w:topLinePunct/>
        <w:spacing w:after="312" w:afterLines="100" w:line="360" w:lineRule="auto"/>
        <w:jc w:val="center"/>
        <w:rPr>
          <w:rFonts w:ascii="仿宋" w:hAnsi="仿宋" w:eastAsia="仿宋" w:cs="仿宋"/>
          <w:b/>
          <w:kern w:val="0"/>
          <w:szCs w:val="21"/>
          <w:highlight w:val="none"/>
        </w:rPr>
      </w:pPr>
      <w:r>
        <w:rPr>
          <w:rFonts w:hint="eastAsia" w:ascii="仿宋" w:hAnsi="仿宋" w:eastAsia="仿宋" w:cs="仿宋"/>
          <w:b/>
          <w:kern w:val="0"/>
          <w:szCs w:val="21"/>
          <w:highlight w:val="none"/>
        </w:rPr>
        <w:t>一、资格性和符合性检查响应对照表</w:t>
      </w:r>
    </w:p>
    <w:p>
      <w:pPr>
        <w:wordWrap w:val="0"/>
        <w:topLinePunct/>
        <w:spacing w:after="312" w:afterLines="100" w:line="360" w:lineRule="auto"/>
        <w:ind w:right="210" w:rightChars="100" w:firstLine="306"/>
        <w:rPr>
          <w:rFonts w:ascii="仿宋" w:hAnsi="仿宋" w:eastAsia="仿宋" w:cs="仿宋"/>
          <w:kern w:val="0"/>
          <w:szCs w:val="21"/>
          <w:highlight w:val="none"/>
        </w:rPr>
      </w:pPr>
      <w:r>
        <w:rPr>
          <w:rFonts w:hint="eastAsia" w:ascii="仿宋" w:hAnsi="仿宋" w:eastAsia="仿宋" w:cs="仿宋"/>
          <w:kern w:val="0"/>
          <w:szCs w:val="21"/>
          <w:highlight w:val="none"/>
        </w:rPr>
        <w:t>投标人名称（公章）：</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4728"/>
        <w:gridCol w:w="1609"/>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357"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b/>
                <w:kern w:val="0"/>
                <w:szCs w:val="21"/>
                <w:highlight w:val="none"/>
              </w:rPr>
            </w:pPr>
            <w:r>
              <w:rPr>
                <w:rFonts w:hint="eastAsia" w:ascii="仿宋" w:hAnsi="仿宋" w:eastAsia="仿宋" w:cs="仿宋"/>
                <w:b/>
                <w:kern w:val="0"/>
                <w:szCs w:val="21"/>
                <w:highlight w:val="none"/>
              </w:rPr>
              <w:t>序号</w:t>
            </w:r>
          </w:p>
        </w:tc>
        <w:tc>
          <w:tcPr>
            <w:tcW w:w="2774"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b/>
                <w:kern w:val="0"/>
                <w:szCs w:val="21"/>
                <w:highlight w:val="none"/>
              </w:rPr>
            </w:pPr>
            <w:r>
              <w:rPr>
                <w:rFonts w:hint="eastAsia" w:ascii="仿宋" w:hAnsi="仿宋" w:eastAsia="仿宋" w:cs="仿宋"/>
                <w:b/>
                <w:kern w:val="0"/>
                <w:szCs w:val="21"/>
                <w:highlight w:val="none"/>
              </w:rPr>
              <w:t>资格性和符合性检查响应内容</w:t>
            </w:r>
          </w:p>
        </w:tc>
        <w:tc>
          <w:tcPr>
            <w:tcW w:w="944"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b/>
                <w:kern w:val="0"/>
                <w:szCs w:val="21"/>
                <w:highlight w:val="none"/>
              </w:rPr>
            </w:pPr>
            <w:r>
              <w:rPr>
                <w:rFonts w:hint="eastAsia" w:ascii="仿宋" w:hAnsi="仿宋" w:eastAsia="仿宋" w:cs="仿宋"/>
                <w:b/>
                <w:kern w:val="0"/>
                <w:szCs w:val="21"/>
                <w:highlight w:val="none"/>
              </w:rPr>
              <w:t>是否响应</w:t>
            </w:r>
          </w:p>
          <w:p>
            <w:pPr>
              <w:wordWrap w:val="0"/>
              <w:topLinePunct/>
              <w:adjustRightInd w:val="0"/>
              <w:snapToGrid w:val="0"/>
              <w:jc w:val="center"/>
              <w:rPr>
                <w:rFonts w:ascii="仿宋" w:hAnsi="仿宋" w:eastAsia="仿宋" w:cs="仿宋"/>
                <w:b/>
                <w:kern w:val="0"/>
                <w:szCs w:val="21"/>
                <w:highlight w:val="none"/>
              </w:rPr>
            </w:pPr>
            <w:r>
              <w:rPr>
                <w:rFonts w:hint="eastAsia" w:ascii="仿宋" w:hAnsi="仿宋" w:eastAsia="仿宋" w:cs="仿宋"/>
                <w:b/>
                <w:kern w:val="0"/>
                <w:szCs w:val="21"/>
                <w:highlight w:val="none"/>
              </w:rPr>
              <w:t>（填是或者否）</w:t>
            </w:r>
          </w:p>
        </w:tc>
        <w:tc>
          <w:tcPr>
            <w:tcW w:w="923"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b/>
                <w:kern w:val="0"/>
                <w:szCs w:val="21"/>
                <w:highlight w:val="none"/>
              </w:rPr>
            </w:pPr>
            <w:r>
              <w:rPr>
                <w:rFonts w:hint="eastAsia" w:ascii="仿宋" w:hAnsi="仿宋" w:eastAsia="仿宋" w:cs="仿宋"/>
                <w:b/>
                <w:kern w:val="0"/>
                <w:szCs w:val="21"/>
                <w:highlight w:val="none"/>
              </w:rPr>
              <w:t>投标文件中的</w:t>
            </w:r>
          </w:p>
          <w:p>
            <w:pPr>
              <w:wordWrap w:val="0"/>
              <w:topLinePunct/>
              <w:adjustRightInd w:val="0"/>
              <w:snapToGrid w:val="0"/>
              <w:jc w:val="center"/>
              <w:rPr>
                <w:rFonts w:ascii="仿宋" w:hAnsi="仿宋" w:eastAsia="仿宋" w:cs="仿宋"/>
                <w:b/>
                <w:kern w:val="0"/>
                <w:szCs w:val="21"/>
                <w:highlight w:val="none"/>
              </w:rPr>
            </w:pPr>
            <w:r>
              <w:rPr>
                <w:rFonts w:hint="eastAsia" w:ascii="仿宋" w:hAnsi="仿宋" w:eastAsia="仿宋" w:cs="仿宋"/>
                <w:b/>
                <w:kern w:val="0"/>
                <w:szCs w:val="21"/>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357"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b/>
                <w:i/>
                <w:kern w:val="0"/>
                <w:szCs w:val="21"/>
                <w:highlight w:val="none"/>
                <w:u w:val="single"/>
              </w:rPr>
            </w:pPr>
            <w:r>
              <w:rPr>
                <w:rFonts w:hint="eastAsia" w:ascii="仿宋" w:hAnsi="仿宋" w:eastAsia="仿宋" w:cs="仿宋"/>
                <w:b/>
                <w:i/>
                <w:kern w:val="0"/>
                <w:szCs w:val="21"/>
                <w:highlight w:val="none"/>
                <w:u w:val="single"/>
              </w:rPr>
              <w:t>1</w:t>
            </w:r>
          </w:p>
        </w:tc>
        <w:tc>
          <w:tcPr>
            <w:tcW w:w="2774"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i/>
                <w:iCs/>
                <w:kern w:val="0"/>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b/>
                <w:kern w:val="0"/>
                <w:szCs w:val="21"/>
                <w:highlight w:val="none"/>
              </w:rPr>
            </w:pPr>
          </w:p>
        </w:tc>
        <w:tc>
          <w:tcPr>
            <w:tcW w:w="923"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b/>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357"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i/>
                <w:kern w:val="0"/>
                <w:szCs w:val="21"/>
                <w:highlight w:val="none"/>
                <w:u w:val="single"/>
              </w:rPr>
            </w:pPr>
            <w:r>
              <w:rPr>
                <w:rFonts w:hint="eastAsia" w:ascii="仿宋" w:hAnsi="仿宋" w:eastAsia="仿宋" w:cs="仿宋"/>
                <w:i/>
                <w:kern w:val="0"/>
                <w:szCs w:val="21"/>
                <w:highlight w:val="none"/>
                <w:u w:val="single"/>
              </w:rPr>
              <w:t>2</w:t>
            </w:r>
          </w:p>
        </w:tc>
        <w:tc>
          <w:tcPr>
            <w:tcW w:w="2774"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i/>
                <w:iCs/>
                <w:kern w:val="0"/>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szCs w:val="21"/>
                <w:highlight w:val="none"/>
              </w:rPr>
            </w:pPr>
          </w:p>
        </w:tc>
        <w:tc>
          <w:tcPr>
            <w:tcW w:w="923"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357"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i/>
                <w:kern w:val="0"/>
                <w:szCs w:val="21"/>
                <w:highlight w:val="none"/>
                <w:u w:val="single"/>
              </w:rPr>
            </w:pPr>
            <w:r>
              <w:rPr>
                <w:rFonts w:hint="eastAsia" w:ascii="仿宋" w:hAnsi="仿宋" w:eastAsia="仿宋" w:cs="仿宋"/>
                <w:i/>
                <w:kern w:val="0"/>
                <w:szCs w:val="21"/>
                <w:highlight w:val="none"/>
                <w:u w:val="single"/>
              </w:rPr>
              <w:t>3</w:t>
            </w:r>
          </w:p>
        </w:tc>
        <w:tc>
          <w:tcPr>
            <w:tcW w:w="2774"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i/>
                <w:iCs/>
                <w:kern w:val="0"/>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szCs w:val="21"/>
                <w:highlight w:val="none"/>
              </w:rPr>
            </w:pPr>
          </w:p>
        </w:tc>
        <w:tc>
          <w:tcPr>
            <w:tcW w:w="923"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357"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i/>
                <w:kern w:val="0"/>
                <w:szCs w:val="21"/>
                <w:highlight w:val="none"/>
                <w:u w:val="single"/>
              </w:rPr>
            </w:pPr>
            <w:r>
              <w:rPr>
                <w:rFonts w:hint="eastAsia" w:ascii="仿宋" w:hAnsi="仿宋" w:eastAsia="仿宋" w:cs="仿宋"/>
                <w:i/>
                <w:kern w:val="0"/>
                <w:szCs w:val="21"/>
                <w:highlight w:val="none"/>
                <w:u w:val="single"/>
              </w:rPr>
              <w:t>4</w:t>
            </w:r>
          </w:p>
        </w:tc>
        <w:tc>
          <w:tcPr>
            <w:tcW w:w="2774"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i/>
                <w:iCs/>
                <w:kern w:val="0"/>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szCs w:val="21"/>
                <w:highlight w:val="none"/>
              </w:rPr>
            </w:pPr>
          </w:p>
        </w:tc>
        <w:tc>
          <w:tcPr>
            <w:tcW w:w="923"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357"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i/>
                <w:kern w:val="0"/>
                <w:szCs w:val="21"/>
                <w:highlight w:val="none"/>
                <w:u w:val="single"/>
              </w:rPr>
            </w:pPr>
            <w:r>
              <w:rPr>
                <w:rFonts w:hint="eastAsia" w:ascii="仿宋" w:hAnsi="仿宋" w:eastAsia="仿宋" w:cs="仿宋"/>
                <w:i/>
                <w:kern w:val="0"/>
                <w:szCs w:val="21"/>
                <w:highlight w:val="none"/>
                <w:u w:val="single"/>
              </w:rPr>
              <w:t>5</w:t>
            </w:r>
          </w:p>
        </w:tc>
        <w:tc>
          <w:tcPr>
            <w:tcW w:w="2774"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i/>
                <w:iCs/>
                <w:kern w:val="0"/>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highlight w:val="none"/>
              </w:rPr>
            </w:pPr>
          </w:p>
        </w:tc>
        <w:tc>
          <w:tcPr>
            <w:tcW w:w="923"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357"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i/>
                <w:kern w:val="0"/>
                <w:szCs w:val="21"/>
                <w:highlight w:val="none"/>
                <w:u w:val="single"/>
              </w:rPr>
            </w:pPr>
            <w:r>
              <w:rPr>
                <w:rFonts w:hint="eastAsia" w:ascii="仿宋" w:hAnsi="仿宋" w:eastAsia="仿宋" w:cs="仿宋"/>
                <w:i/>
                <w:kern w:val="0"/>
                <w:szCs w:val="21"/>
                <w:highlight w:val="none"/>
                <w:u w:val="single"/>
              </w:rPr>
              <w:t>6</w:t>
            </w:r>
          </w:p>
        </w:tc>
        <w:tc>
          <w:tcPr>
            <w:tcW w:w="2774"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i/>
                <w:iCs/>
                <w:kern w:val="0"/>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highlight w:val="none"/>
              </w:rPr>
            </w:pPr>
          </w:p>
        </w:tc>
        <w:tc>
          <w:tcPr>
            <w:tcW w:w="923"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357"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i/>
                <w:kern w:val="0"/>
                <w:szCs w:val="21"/>
                <w:highlight w:val="none"/>
                <w:u w:val="single"/>
              </w:rPr>
            </w:pPr>
            <w:r>
              <w:rPr>
                <w:rFonts w:hint="eastAsia" w:ascii="仿宋" w:hAnsi="仿宋" w:eastAsia="仿宋" w:cs="仿宋"/>
                <w:i/>
                <w:kern w:val="0"/>
                <w:szCs w:val="21"/>
                <w:highlight w:val="none"/>
                <w:u w:val="single"/>
              </w:rPr>
              <w:t>7</w:t>
            </w:r>
          </w:p>
        </w:tc>
        <w:tc>
          <w:tcPr>
            <w:tcW w:w="2774"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i/>
                <w:iCs/>
                <w:kern w:val="0"/>
                <w:szCs w:val="21"/>
                <w:highlight w:val="none"/>
                <w:u w:val="single"/>
              </w:rPr>
            </w:pPr>
            <w:r>
              <w:rPr>
                <w:rFonts w:hint="eastAsia" w:ascii="仿宋" w:hAnsi="仿宋" w:eastAsia="仿宋" w:cs="仿宋"/>
                <w:i/>
                <w:iCs/>
                <w:kern w:val="0"/>
                <w:szCs w:val="21"/>
                <w:highlight w:val="none"/>
                <w:u w:val="single"/>
              </w:rPr>
              <w:t>招标文件中的其他实质性要求</w:t>
            </w:r>
          </w:p>
        </w:tc>
        <w:tc>
          <w:tcPr>
            <w:tcW w:w="944"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highlight w:val="none"/>
              </w:rPr>
            </w:pPr>
          </w:p>
        </w:tc>
        <w:tc>
          <w:tcPr>
            <w:tcW w:w="923"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highlight w:val="none"/>
              </w:rPr>
            </w:pPr>
          </w:p>
        </w:tc>
      </w:tr>
    </w:tbl>
    <w:p>
      <w:pPr>
        <w:wordWrap w:val="0"/>
        <w:topLinePunct/>
        <w:spacing w:before="50" w:after="50"/>
        <w:rPr>
          <w:rFonts w:ascii="仿宋" w:hAnsi="仿宋" w:eastAsia="仿宋" w:cs="仿宋"/>
          <w:kern w:val="0"/>
          <w:szCs w:val="21"/>
          <w:highlight w:val="none"/>
        </w:rPr>
      </w:pPr>
      <w:r>
        <w:rPr>
          <w:rFonts w:hint="eastAsia" w:ascii="仿宋" w:hAnsi="仿宋" w:eastAsia="仿宋" w:cs="仿宋"/>
          <w:kern w:val="0"/>
          <w:szCs w:val="21"/>
          <w:highlight w:val="none"/>
        </w:rPr>
        <w:br w:type="page"/>
      </w:r>
    </w:p>
    <w:p>
      <w:pPr>
        <w:wordWrap w:val="0"/>
        <w:topLinePunct/>
        <w:adjustRightInd w:val="0"/>
        <w:snapToGrid w:val="0"/>
        <w:spacing w:line="360" w:lineRule="auto"/>
        <w:jc w:val="center"/>
        <w:rPr>
          <w:rFonts w:ascii="仿宋" w:hAnsi="仿宋" w:eastAsia="仿宋" w:cs="仿宋"/>
          <w:b/>
          <w:bCs/>
          <w:kern w:val="0"/>
          <w:szCs w:val="21"/>
          <w:highlight w:val="none"/>
        </w:rPr>
      </w:pPr>
      <w:r>
        <w:rPr>
          <w:rFonts w:hint="eastAsia" w:ascii="仿宋" w:hAnsi="仿宋" w:eastAsia="仿宋" w:cs="仿宋"/>
          <w:b/>
          <w:bCs/>
          <w:kern w:val="0"/>
          <w:szCs w:val="21"/>
          <w:highlight w:val="none"/>
        </w:rPr>
        <w:t>二、资信证明文件要求</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（一）申请人的资格要求：</w:t>
      </w:r>
    </w:p>
    <w:p>
      <w:pPr>
        <w:wordWrap w:val="0"/>
        <w:topLinePunct/>
        <w:snapToGrid w:val="0"/>
        <w:spacing w:line="360" w:lineRule="auto"/>
        <w:ind w:firstLine="420" w:firstLineChars="200"/>
        <w:rPr>
          <w:rFonts w:ascii="仿宋" w:hAnsi="仿宋" w:eastAsia="仿宋" w:cs="仿宋"/>
          <w:b/>
          <w:bCs/>
          <w:i/>
          <w:iCs/>
          <w:kern w:val="0"/>
          <w:szCs w:val="21"/>
          <w:highlight w:val="none"/>
          <w:u w:val="single"/>
        </w:rPr>
      </w:pPr>
      <w:r>
        <w:rPr>
          <w:rFonts w:hint="eastAsia" w:ascii="仿宋" w:hAnsi="仿宋" w:eastAsia="仿宋" w:cs="仿宋"/>
          <w:i/>
          <w:iCs/>
          <w:kern w:val="0"/>
          <w:szCs w:val="21"/>
          <w:highlight w:val="none"/>
          <w:u w:val="single"/>
        </w:rPr>
        <w:t>1.1法人或者其他组织的营业执照等证明文件，自然人的身份证明（身份证为正、反面）</w:t>
      </w:r>
      <w:r>
        <w:rPr>
          <w:rFonts w:hint="eastAsia" w:ascii="仿宋" w:hAnsi="仿宋" w:eastAsia="仿宋" w:cs="仿宋"/>
          <w:b/>
          <w:bCs/>
          <w:i/>
          <w:iCs/>
          <w:kern w:val="0"/>
          <w:szCs w:val="21"/>
          <w:highlight w:val="none"/>
          <w:u w:val="single"/>
        </w:rPr>
        <w:t>（复印件加盖公章）；</w:t>
      </w:r>
    </w:p>
    <w:p>
      <w:pPr>
        <w:wordWrap w:val="0"/>
        <w:topLinePunct/>
        <w:snapToGrid w:val="0"/>
        <w:spacing w:line="360" w:lineRule="auto"/>
        <w:ind w:firstLine="420" w:firstLineChars="200"/>
        <w:rPr>
          <w:rFonts w:ascii="仿宋" w:hAnsi="仿宋" w:eastAsia="仿宋" w:cs="仿宋"/>
          <w:b/>
          <w:bCs/>
          <w:i/>
          <w:iCs/>
          <w:kern w:val="0"/>
          <w:szCs w:val="21"/>
          <w:highlight w:val="none"/>
          <w:u w:val="single"/>
        </w:rPr>
      </w:pPr>
      <w:r>
        <w:rPr>
          <w:rFonts w:hint="eastAsia" w:ascii="仿宋" w:hAnsi="仿宋" w:eastAsia="仿宋" w:cs="仿宋"/>
          <w:i/>
          <w:iCs/>
          <w:kern w:val="0"/>
          <w:szCs w:val="21"/>
          <w:highlight w:val="none"/>
          <w:u w:val="single"/>
        </w:rPr>
        <w:t>1.2依法缴纳职工社会保障资金的证明材料(税务、银行或社会保险基金管理部门出具的近三个月内（</w:t>
      </w:r>
      <w:r>
        <w:rPr>
          <w:rFonts w:hint="eastAsia" w:ascii="仿宋" w:hAnsi="仿宋" w:eastAsia="仿宋" w:cs="仿宋"/>
          <w:i/>
          <w:iCs/>
          <w:kern w:val="0"/>
          <w:szCs w:val="21"/>
          <w:highlight w:val="none"/>
          <w:u w:val="single"/>
          <w:lang w:eastAsia="zh-CN"/>
        </w:rPr>
        <w:t>2024年05月至2024年07月</w:t>
      </w:r>
      <w:r>
        <w:rPr>
          <w:rFonts w:hint="eastAsia" w:ascii="仿宋" w:hAnsi="仿宋" w:eastAsia="仿宋" w:cs="仿宋"/>
          <w:i/>
          <w:iCs/>
          <w:kern w:val="0"/>
          <w:szCs w:val="21"/>
          <w:highlight w:val="none"/>
          <w:u w:val="single"/>
        </w:rPr>
        <w:t>）任意一个月缴纳职工社会保障资金的缴款凭证或缴款证明)（供应商依法享受缓缴、免缴的提供证明材料）</w:t>
      </w:r>
      <w:r>
        <w:rPr>
          <w:rFonts w:hint="eastAsia" w:ascii="仿宋" w:hAnsi="仿宋" w:eastAsia="仿宋" w:cs="仿宋"/>
          <w:b/>
          <w:bCs/>
          <w:i/>
          <w:iCs/>
          <w:kern w:val="0"/>
          <w:szCs w:val="21"/>
          <w:highlight w:val="none"/>
          <w:u w:val="single"/>
        </w:rPr>
        <w:t>（复印件加盖公章）；</w:t>
      </w:r>
    </w:p>
    <w:p>
      <w:pPr>
        <w:wordWrap w:val="0"/>
        <w:topLinePunct/>
        <w:snapToGrid w:val="0"/>
        <w:spacing w:line="360" w:lineRule="auto"/>
        <w:ind w:firstLine="420" w:firstLineChars="200"/>
        <w:rPr>
          <w:rFonts w:ascii="仿宋" w:hAnsi="仿宋" w:eastAsia="仿宋" w:cs="仿宋"/>
          <w:i/>
          <w:iCs/>
          <w:kern w:val="0"/>
          <w:szCs w:val="21"/>
          <w:highlight w:val="none"/>
          <w:u w:val="single"/>
        </w:rPr>
      </w:pPr>
      <w:r>
        <w:rPr>
          <w:rFonts w:hint="eastAsia" w:ascii="仿宋" w:hAnsi="仿宋" w:eastAsia="仿宋" w:cs="仿宋"/>
          <w:i/>
          <w:iCs/>
          <w:kern w:val="0"/>
          <w:szCs w:val="21"/>
          <w:highlight w:val="none"/>
          <w:u w:val="single"/>
        </w:rPr>
        <w:t>1.3供应商出具的近三个月内（</w:t>
      </w:r>
      <w:r>
        <w:rPr>
          <w:rFonts w:hint="eastAsia" w:ascii="仿宋" w:hAnsi="仿宋" w:eastAsia="仿宋" w:cs="仿宋"/>
          <w:i/>
          <w:iCs/>
          <w:kern w:val="0"/>
          <w:szCs w:val="21"/>
          <w:highlight w:val="none"/>
          <w:u w:val="single"/>
          <w:lang w:eastAsia="zh-CN"/>
        </w:rPr>
        <w:t>2024年05月至2024年07月</w:t>
      </w:r>
      <w:r>
        <w:rPr>
          <w:rFonts w:hint="eastAsia" w:ascii="仿宋" w:hAnsi="仿宋" w:eastAsia="仿宋" w:cs="仿宋"/>
          <w:i/>
          <w:iCs/>
          <w:kern w:val="0"/>
          <w:szCs w:val="21"/>
          <w:highlight w:val="none"/>
          <w:u w:val="single"/>
        </w:rPr>
        <w:t>）任意一份依法纳税的缴款凭证（供应商依法享受缓缴、免缴的提供证明材料）</w:t>
      </w:r>
      <w:r>
        <w:rPr>
          <w:rFonts w:hint="eastAsia" w:ascii="仿宋" w:hAnsi="仿宋" w:eastAsia="仿宋" w:cs="仿宋"/>
          <w:b/>
          <w:bCs/>
          <w:i/>
          <w:iCs/>
          <w:kern w:val="0"/>
          <w:szCs w:val="21"/>
          <w:highlight w:val="none"/>
          <w:u w:val="single"/>
        </w:rPr>
        <w:t>（复印件加盖公章）；</w:t>
      </w:r>
    </w:p>
    <w:p>
      <w:pPr>
        <w:wordWrap w:val="0"/>
        <w:topLinePunct/>
        <w:snapToGrid w:val="0"/>
        <w:spacing w:line="360" w:lineRule="auto"/>
        <w:ind w:firstLine="420" w:firstLineChars="200"/>
        <w:rPr>
          <w:rFonts w:ascii="仿宋" w:hAnsi="仿宋" w:eastAsia="仿宋" w:cs="仿宋"/>
          <w:i/>
          <w:iCs/>
          <w:kern w:val="0"/>
          <w:szCs w:val="21"/>
          <w:highlight w:val="none"/>
          <w:u w:val="single"/>
        </w:rPr>
      </w:pPr>
      <w:r>
        <w:rPr>
          <w:rFonts w:hint="eastAsia" w:ascii="仿宋" w:hAnsi="仿宋" w:eastAsia="仿宋" w:cs="仿宋"/>
          <w:i/>
          <w:iCs/>
          <w:kern w:val="0"/>
          <w:szCs w:val="21"/>
          <w:highlight w:val="none"/>
          <w:u w:val="single"/>
        </w:rPr>
        <w:t>1.4上一年度（2022年度或2023年度）的财务报告情况（成立不满一年不需提供）</w:t>
      </w:r>
      <w:r>
        <w:rPr>
          <w:rFonts w:hint="eastAsia" w:ascii="仿宋" w:hAnsi="仿宋" w:eastAsia="仿宋" w:cs="仿宋"/>
          <w:b/>
          <w:bCs/>
          <w:i/>
          <w:iCs/>
          <w:kern w:val="0"/>
          <w:szCs w:val="21"/>
          <w:highlight w:val="none"/>
          <w:u w:val="single"/>
        </w:rPr>
        <w:t>（复印件加盖公章）；</w:t>
      </w:r>
    </w:p>
    <w:p>
      <w:pPr>
        <w:wordWrap w:val="0"/>
        <w:topLinePunct/>
        <w:snapToGrid w:val="0"/>
        <w:spacing w:line="360" w:lineRule="auto"/>
        <w:ind w:firstLine="420" w:firstLineChars="200"/>
        <w:rPr>
          <w:rFonts w:ascii="仿宋" w:hAnsi="仿宋" w:eastAsia="仿宋" w:cs="仿宋"/>
          <w:i/>
          <w:iCs/>
          <w:kern w:val="0"/>
          <w:szCs w:val="21"/>
          <w:highlight w:val="none"/>
          <w:u w:val="single"/>
        </w:rPr>
      </w:pPr>
      <w:r>
        <w:rPr>
          <w:rFonts w:hint="eastAsia" w:ascii="仿宋" w:hAnsi="仿宋" w:eastAsia="仿宋" w:cs="仿宋"/>
          <w:i/>
          <w:iCs/>
          <w:kern w:val="0"/>
          <w:szCs w:val="21"/>
          <w:highlight w:val="none"/>
          <w:u w:val="single"/>
        </w:rPr>
        <w:t>1.5具备履行合同所必需的设备和专业技术能力的证明材料</w:t>
      </w:r>
      <w:r>
        <w:rPr>
          <w:rFonts w:hint="eastAsia" w:ascii="仿宋" w:hAnsi="仿宋" w:eastAsia="仿宋" w:cs="仿宋"/>
          <w:b/>
          <w:bCs/>
          <w:i/>
          <w:iCs/>
          <w:kern w:val="0"/>
          <w:szCs w:val="21"/>
          <w:highlight w:val="none"/>
          <w:u w:val="single"/>
        </w:rPr>
        <w:t>（复印件加盖公章）；</w:t>
      </w:r>
    </w:p>
    <w:p>
      <w:pPr>
        <w:wordWrap w:val="0"/>
        <w:topLinePunct/>
        <w:snapToGrid w:val="0"/>
        <w:spacing w:line="360" w:lineRule="auto"/>
        <w:ind w:firstLine="420" w:firstLineChars="200"/>
        <w:rPr>
          <w:rFonts w:ascii="仿宋" w:hAnsi="仿宋" w:eastAsia="仿宋" w:cs="仿宋"/>
          <w:b/>
          <w:bCs/>
          <w:i/>
          <w:iCs/>
          <w:kern w:val="0"/>
          <w:szCs w:val="21"/>
          <w:highlight w:val="none"/>
          <w:u w:val="single"/>
        </w:rPr>
      </w:pPr>
      <w:r>
        <w:rPr>
          <w:rFonts w:hint="eastAsia" w:ascii="仿宋" w:hAnsi="仿宋" w:eastAsia="仿宋" w:cs="仿宋"/>
          <w:i/>
          <w:iCs/>
          <w:kern w:val="0"/>
          <w:szCs w:val="21"/>
          <w:highlight w:val="none"/>
          <w:u w:val="single"/>
        </w:rPr>
        <w:t>1.6参加本次政府采购活动前3年内在经营活动中没有重大违法记录的书面声明</w:t>
      </w:r>
      <w:r>
        <w:rPr>
          <w:rFonts w:hint="eastAsia" w:ascii="仿宋" w:hAnsi="仿宋" w:eastAsia="仿宋" w:cs="仿宋"/>
          <w:b/>
          <w:bCs/>
          <w:i/>
          <w:iCs/>
          <w:kern w:val="0"/>
          <w:szCs w:val="21"/>
          <w:highlight w:val="none"/>
          <w:u w:val="single"/>
        </w:rPr>
        <w:t>（复印件加盖公章）；</w:t>
      </w:r>
    </w:p>
    <w:p>
      <w:pPr>
        <w:wordWrap w:val="0"/>
        <w:topLinePunct/>
        <w:snapToGrid w:val="0"/>
        <w:spacing w:line="360" w:lineRule="auto"/>
        <w:ind w:firstLine="420" w:firstLineChars="200"/>
        <w:rPr>
          <w:rFonts w:ascii="仿宋" w:hAnsi="仿宋" w:eastAsia="仿宋" w:cs="仿宋"/>
          <w:i/>
          <w:iCs/>
          <w:kern w:val="0"/>
          <w:szCs w:val="21"/>
          <w:highlight w:val="none"/>
          <w:u w:val="single"/>
        </w:rPr>
      </w:pPr>
      <w:r>
        <w:rPr>
          <w:rFonts w:hint="eastAsia" w:ascii="仿宋" w:hAnsi="仿宋" w:eastAsia="仿宋" w:cs="仿宋"/>
          <w:i/>
          <w:iCs/>
          <w:kern w:val="0"/>
          <w:szCs w:val="21"/>
          <w:highlight w:val="none"/>
          <w:u w:val="single"/>
        </w:rPr>
        <w:t>1.7未被“信用中国”网站（www.creditchina.gov.cn）、“中国政府采购网"(www.ccgp.gov.cn)列入失信被执行人、重大税收违法案件当事人名单、政府采购严重违法失信行为记录名单</w:t>
      </w:r>
      <w:r>
        <w:rPr>
          <w:rFonts w:hint="eastAsia" w:ascii="仿宋" w:hAnsi="仿宋" w:eastAsia="仿宋" w:cs="仿宋"/>
          <w:b/>
          <w:bCs/>
          <w:i/>
          <w:iCs/>
          <w:kern w:val="0"/>
          <w:szCs w:val="21"/>
          <w:highlight w:val="none"/>
          <w:u w:val="single"/>
        </w:rPr>
        <w:t>（提供网页查询截图并加盖供应商公章后扫描件，查询时间从公告发布之日起至投标截止时间止）</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i/>
          <w:iCs/>
          <w:kern w:val="0"/>
          <w:szCs w:val="21"/>
          <w:highlight w:val="none"/>
          <w:u w:val="single"/>
        </w:rPr>
        <w:t>1.8供应商信用承诺函</w:t>
      </w:r>
      <w:r>
        <w:rPr>
          <w:rFonts w:hint="eastAsia" w:ascii="仿宋" w:hAnsi="仿宋" w:eastAsia="仿宋" w:cs="仿宋"/>
          <w:b/>
          <w:bCs/>
          <w:i/>
          <w:iCs/>
          <w:kern w:val="0"/>
          <w:szCs w:val="21"/>
          <w:highlight w:val="none"/>
          <w:u w:val="single"/>
        </w:rPr>
        <w:t>（复印件加盖公章）；</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2、落实政府采购政策需满足的资格要求：</w:t>
      </w:r>
      <w:r>
        <w:rPr>
          <w:rFonts w:hint="eastAsia" w:ascii="仿宋" w:hAnsi="仿宋" w:eastAsia="仿宋" w:cs="仿宋"/>
          <w:i/>
          <w:iCs/>
          <w:kern w:val="0"/>
          <w:szCs w:val="21"/>
          <w:highlight w:val="none"/>
          <w:u w:val="single"/>
        </w:rPr>
        <w:t>根据江苏省财政厅苏财购【2020】52号文规定，本项目专门面向中小企业采购。投标人投标时须提供《中小企业申明函》，《中小企业申明函》不符合要求或未提供的，投标文件无效。本项目属于其他未列明行业。</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3.本项目的特定资格要求：</w:t>
      </w:r>
    </w:p>
    <w:p>
      <w:pPr>
        <w:wordWrap w:val="0"/>
        <w:topLinePunct/>
        <w:snapToGrid w:val="0"/>
        <w:spacing w:line="360" w:lineRule="auto"/>
        <w:ind w:firstLine="420" w:firstLineChars="200"/>
        <w:rPr>
          <w:rFonts w:ascii="仿宋" w:hAnsi="仿宋" w:eastAsia="仿宋" w:cs="仿宋"/>
          <w:i/>
          <w:iCs/>
          <w:kern w:val="0"/>
          <w:szCs w:val="21"/>
          <w:highlight w:val="none"/>
          <w:u w:val="single"/>
        </w:rPr>
      </w:pPr>
      <w:r>
        <w:rPr>
          <w:rFonts w:hint="eastAsia" w:ascii="仿宋" w:hAnsi="仿宋" w:eastAsia="仿宋" w:cs="仿宋"/>
          <w:i/>
          <w:iCs/>
          <w:kern w:val="0"/>
          <w:szCs w:val="21"/>
          <w:highlight w:val="none"/>
          <w:u w:val="single"/>
        </w:rPr>
        <w:t>3.1投标人必须是中华人民共和国境内注册的企业法人（营业执照复印件装订于投标文件中）；若投标人为代理商，则必须有产品销售授权，代理人具有针对本次投标的投标人法人授权委托书原件。</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i/>
          <w:iCs/>
          <w:kern w:val="0"/>
          <w:szCs w:val="21"/>
          <w:highlight w:val="none"/>
          <w:u w:val="single"/>
        </w:rPr>
        <w:t>3.2投标人或其代理的厂商应具有所投产品的计量器具型式批准证书并提供国家认证认可监督管理委员会批准的认证机构颁发的防爆合格证书和防护等级证书。</w:t>
      </w:r>
      <w:r>
        <w:rPr>
          <w:rFonts w:hint="eastAsia" w:ascii="仿宋" w:hAnsi="仿宋" w:eastAsia="仿宋" w:cs="仿宋"/>
          <w:b/>
          <w:bCs/>
          <w:i/>
          <w:iCs/>
          <w:kern w:val="0"/>
          <w:szCs w:val="21"/>
          <w:highlight w:val="none"/>
          <w:u w:val="single"/>
        </w:rPr>
        <w:t>（复印件加盖公章）。</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4.拒绝下述供应商参加本次采购活动：</w:t>
      </w:r>
    </w:p>
    <w:p>
      <w:pPr>
        <w:wordWrap w:val="0"/>
        <w:topLinePunct/>
        <w:snapToGrid w:val="0"/>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4.1供应商单位负责人为同一人或者存在直接控股、管理关系的不同供应商，不得参加同一合同项下的政府采购活动。</w:t>
      </w:r>
    </w:p>
    <w:p>
      <w:pPr>
        <w:wordWrap w:val="0"/>
        <w:topLinePunct/>
        <w:snapToGrid w:val="0"/>
        <w:spacing w:line="360" w:lineRule="auto"/>
        <w:ind w:firstLine="420" w:firstLineChars="200"/>
        <w:rPr>
          <w:rFonts w:ascii="仿宋" w:hAnsi="仿宋" w:eastAsia="仿宋" w:cs="仿宋"/>
          <w:bCs/>
          <w:kern w:val="0"/>
          <w:sz w:val="24"/>
          <w:highlight w:val="none"/>
        </w:rPr>
      </w:pPr>
      <w:r>
        <w:rPr>
          <w:rFonts w:hint="eastAsia" w:ascii="仿宋" w:hAnsi="仿宋" w:eastAsia="仿宋" w:cs="仿宋"/>
          <w:kern w:val="0"/>
          <w:szCs w:val="21"/>
          <w:highlight w:val="none"/>
        </w:rPr>
        <w:t>4.2凡为采购项目提供整体设计、规范编制或者项目管理、监理、检测等服务的供应商，不得再参加该项目的其他采购活动。</w:t>
      </w:r>
    </w:p>
    <w:p>
      <w:pPr>
        <w:wordWrap w:val="0"/>
        <w:topLinePunct/>
        <w:rPr>
          <w:rFonts w:ascii="仿宋" w:hAnsi="仿宋" w:eastAsia="仿宋" w:cs="仿宋"/>
          <w:b/>
          <w:bCs/>
          <w:kern w:val="0"/>
          <w:szCs w:val="21"/>
          <w:highlight w:val="none"/>
        </w:rPr>
      </w:pPr>
      <w:r>
        <w:rPr>
          <w:rFonts w:hint="eastAsia" w:ascii="仿宋" w:hAnsi="仿宋" w:eastAsia="仿宋" w:cs="仿宋"/>
          <w:b/>
          <w:bCs/>
          <w:kern w:val="0"/>
          <w:szCs w:val="21"/>
          <w:highlight w:val="none"/>
        </w:rPr>
        <w:br w:type="page"/>
      </w:r>
    </w:p>
    <w:p>
      <w:pPr>
        <w:wordWrap w:val="0"/>
        <w:topLinePunct/>
        <w:spacing w:line="360" w:lineRule="auto"/>
        <w:jc w:val="center"/>
        <w:rPr>
          <w:rFonts w:ascii="仿宋" w:hAnsi="仿宋" w:eastAsia="仿宋" w:cs="仿宋"/>
          <w:b/>
          <w:bCs/>
          <w:kern w:val="0"/>
          <w:szCs w:val="21"/>
          <w:highlight w:val="none"/>
        </w:rPr>
      </w:pPr>
      <w:r>
        <w:rPr>
          <w:rFonts w:hint="eastAsia" w:ascii="仿宋" w:hAnsi="仿宋" w:eastAsia="仿宋" w:cs="仿宋"/>
          <w:b/>
          <w:bCs/>
          <w:kern w:val="0"/>
          <w:szCs w:val="21"/>
          <w:highlight w:val="none"/>
        </w:rPr>
        <w:t>投标函格式</w:t>
      </w:r>
    </w:p>
    <w:p>
      <w:pPr>
        <w:pStyle w:val="54"/>
        <w:wordWrap w:val="0"/>
        <w:topLinePunct/>
        <w:spacing w:before="0" w:after="0"/>
        <w:ind w:firstLine="0"/>
        <w:rPr>
          <w:rFonts w:ascii="仿宋" w:hAnsi="仿宋" w:eastAsia="仿宋" w:cs="仿宋"/>
          <w:sz w:val="21"/>
          <w:szCs w:val="21"/>
          <w:highlight w:val="none"/>
        </w:rPr>
      </w:pPr>
      <w:r>
        <w:rPr>
          <w:rFonts w:hint="eastAsia" w:ascii="仿宋" w:hAnsi="仿宋" w:eastAsia="仿宋" w:cs="仿宋"/>
          <w:sz w:val="21"/>
          <w:szCs w:val="21"/>
          <w:highlight w:val="none"/>
        </w:rPr>
        <w:t>致：江苏省鼎诚建设工程顾问有限公司</w:t>
      </w:r>
    </w:p>
    <w:p>
      <w:pPr>
        <w:pStyle w:val="54"/>
        <w:wordWrap w:val="0"/>
        <w:topLinePunct/>
        <w:spacing w:before="0" w:after="0"/>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根据贵方的</w:t>
      </w:r>
      <w:r>
        <w:rPr>
          <w:rFonts w:hint="eastAsia" w:ascii="仿宋" w:hAnsi="仿宋" w:eastAsia="仿宋" w:cs="仿宋"/>
          <w:sz w:val="21"/>
          <w:szCs w:val="21"/>
          <w:highlight w:val="none"/>
          <w:u w:val="single"/>
        </w:rPr>
        <w:t>JSDC-G-20240612001</w:t>
      </w:r>
      <w:r>
        <w:rPr>
          <w:rFonts w:hint="eastAsia" w:ascii="仿宋" w:hAnsi="仿宋" w:eastAsia="仿宋" w:cs="仿宋"/>
          <w:sz w:val="21"/>
          <w:szCs w:val="21"/>
          <w:highlight w:val="none"/>
        </w:rPr>
        <w:t>号招标文件，正式授权下述签字人_________________（姓名）代表我方______________（投标人的名称），全权处理本次项目投标的有关事宜。</w:t>
      </w:r>
    </w:p>
    <w:p>
      <w:pPr>
        <w:pStyle w:val="54"/>
        <w:wordWrap w:val="0"/>
        <w:topLinePunct/>
        <w:spacing w:before="0" w:after="0"/>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据此函，__________签字人兹宣布同意如下：</w:t>
      </w:r>
    </w:p>
    <w:p>
      <w:pPr>
        <w:pStyle w:val="54"/>
        <w:wordWrap w:val="0"/>
        <w:topLinePunct/>
        <w:spacing w:before="0" w:after="0"/>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1.按招标文件规定的各项要求，向买方提供所需货物与服务。</w:t>
      </w:r>
    </w:p>
    <w:p>
      <w:pPr>
        <w:pStyle w:val="54"/>
        <w:wordWrap w:val="0"/>
        <w:topLinePunct/>
        <w:spacing w:before="0" w:after="0"/>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2.我们完全理解贵方不一定将合同授予最低报价的投标人。</w:t>
      </w:r>
    </w:p>
    <w:p>
      <w:pPr>
        <w:pStyle w:val="54"/>
        <w:wordWrap w:val="0"/>
        <w:topLinePunct/>
        <w:spacing w:before="0" w:after="0"/>
        <w:ind w:firstLine="420" w:firstLineChars="200"/>
        <w:rPr>
          <w:rFonts w:ascii="仿宋" w:hAnsi="仿宋" w:eastAsia="仿宋" w:cs="仿宋"/>
          <w:sz w:val="21"/>
          <w:szCs w:val="21"/>
          <w:highlight w:val="none"/>
        </w:rPr>
      </w:pPr>
      <w:r>
        <w:rPr>
          <w:rFonts w:hint="eastAsia" w:ascii="仿宋" w:hAnsi="仿宋" w:eastAsia="仿宋" w:cs="仿宋"/>
          <w:sz w:val="21"/>
          <w:szCs w:val="21"/>
          <w:highlight w:val="none"/>
        </w:rPr>
        <w:t>3.我们已详细审核全部招标文件及其有效补充文件，我们知道必须放弃提出含糊不清或误解问题的权利。</w:t>
      </w:r>
    </w:p>
    <w:p>
      <w:pPr>
        <w:pStyle w:val="54"/>
        <w:wordWrap w:val="0"/>
        <w:topLinePunct/>
        <w:spacing w:before="0" w:after="0"/>
        <w:rPr>
          <w:rFonts w:ascii="仿宋" w:hAnsi="仿宋" w:eastAsia="仿宋" w:cs="仿宋"/>
          <w:sz w:val="21"/>
          <w:szCs w:val="21"/>
          <w:highlight w:val="none"/>
        </w:rPr>
      </w:pPr>
      <w:r>
        <w:rPr>
          <w:rFonts w:hint="eastAsia" w:ascii="仿宋" w:hAnsi="仿宋" w:eastAsia="仿宋" w:cs="仿宋"/>
          <w:sz w:val="21"/>
          <w:szCs w:val="21"/>
          <w:highlight w:val="none"/>
        </w:rPr>
        <w:t>4.我们同意从规定的开标日期起遵循本投标文件，并在规定的投标有效期期满之前均具有约束力。</w:t>
      </w:r>
    </w:p>
    <w:p>
      <w:pPr>
        <w:pStyle w:val="54"/>
        <w:wordWrap w:val="0"/>
        <w:topLinePunct/>
        <w:spacing w:before="0" w:after="0"/>
        <w:rPr>
          <w:rFonts w:ascii="仿宋" w:hAnsi="仿宋" w:eastAsia="仿宋" w:cs="仿宋"/>
          <w:sz w:val="21"/>
          <w:szCs w:val="21"/>
          <w:highlight w:val="none"/>
        </w:rPr>
      </w:pPr>
      <w:r>
        <w:rPr>
          <w:rFonts w:hint="eastAsia" w:ascii="仿宋" w:hAnsi="仿宋" w:eastAsia="仿宋" w:cs="仿宋"/>
          <w:sz w:val="21"/>
          <w:szCs w:val="21"/>
          <w:highlight w:val="none"/>
        </w:rPr>
        <w:t>5.如果在开标后规定的投标有效期内撤回投标或中标后拒绝签订合同，我们的投标保证金（如有）可不予退还。</w:t>
      </w:r>
    </w:p>
    <w:p>
      <w:pPr>
        <w:pStyle w:val="54"/>
        <w:wordWrap w:val="0"/>
        <w:topLinePunct/>
        <w:spacing w:before="0" w:after="0"/>
        <w:rPr>
          <w:rFonts w:ascii="仿宋" w:hAnsi="仿宋" w:eastAsia="仿宋" w:cs="仿宋"/>
          <w:sz w:val="21"/>
          <w:szCs w:val="21"/>
          <w:highlight w:val="none"/>
        </w:rPr>
      </w:pPr>
      <w:r>
        <w:rPr>
          <w:rFonts w:hint="eastAsia" w:ascii="仿宋" w:hAnsi="仿宋" w:eastAsia="仿宋" w:cs="仿宋"/>
          <w:sz w:val="21"/>
          <w:szCs w:val="21"/>
          <w:highlight w:val="none"/>
        </w:rPr>
        <w:t>6.同意向贵方提供贵方可能另外要求的与投标有关的任何证据或资料，并保证我方已提供和将要提供的文件是真实的、准确的。</w:t>
      </w:r>
    </w:p>
    <w:p>
      <w:pPr>
        <w:pStyle w:val="54"/>
        <w:wordWrap w:val="0"/>
        <w:topLinePunct/>
        <w:spacing w:before="0" w:after="0"/>
        <w:rPr>
          <w:rFonts w:ascii="仿宋" w:hAnsi="仿宋" w:eastAsia="仿宋" w:cs="仿宋"/>
          <w:sz w:val="21"/>
          <w:szCs w:val="21"/>
          <w:highlight w:val="none"/>
        </w:rPr>
      </w:pPr>
      <w:r>
        <w:rPr>
          <w:rFonts w:hint="eastAsia" w:ascii="仿宋" w:hAnsi="仿宋" w:eastAsia="仿宋" w:cs="仿宋"/>
          <w:sz w:val="21"/>
          <w:szCs w:val="21"/>
          <w:highlight w:val="none"/>
        </w:rPr>
        <w:t>7.一旦我方中标，我方将根据招标文件的规定，严格履行合同的责任和义务，并保证在招标文件规定的时间完成项目，交付买方验收、使用。</w:t>
      </w:r>
    </w:p>
    <w:p>
      <w:pPr>
        <w:pStyle w:val="54"/>
        <w:wordWrap w:val="0"/>
        <w:topLinePunct/>
        <w:spacing w:before="0" w:after="0"/>
        <w:ind w:left="425" w:firstLine="105" w:firstLineChars="50"/>
        <w:rPr>
          <w:rFonts w:ascii="仿宋" w:hAnsi="仿宋" w:eastAsia="仿宋" w:cs="仿宋"/>
          <w:sz w:val="21"/>
          <w:szCs w:val="21"/>
          <w:highlight w:val="none"/>
        </w:rPr>
      </w:pPr>
      <w:r>
        <w:rPr>
          <w:rFonts w:hint="eastAsia" w:ascii="仿宋" w:hAnsi="仿宋" w:eastAsia="仿宋" w:cs="仿宋"/>
          <w:sz w:val="21"/>
          <w:szCs w:val="21"/>
          <w:highlight w:val="none"/>
        </w:rPr>
        <w:t>8.与本投标有关的正式通讯地址为：</w:t>
      </w:r>
    </w:p>
    <w:p>
      <w:pPr>
        <w:pStyle w:val="54"/>
        <w:wordWrap w:val="0"/>
        <w:topLinePunct/>
        <w:spacing w:before="0" w:after="0"/>
        <w:ind w:firstLine="478" w:firstLineChars="228"/>
        <w:rPr>
          <w:rFonts w:ascii="仿宋" w:hAnsi="仿宋" w:eastAsia="仿宋" w:cs="仿宋"/>
          <w:sz w:val="21"/>
          <w:szCs w:val="21"/>
          <w:highlight w:val="none"/>
        </w:rPr>
      </w:pPr>
      <w:r>
        <w:rPr>
          <w:rFonts w:hint="eastAsia" w:ascii="仿宋" w:hAnsi="仿宋" w:eastAsia="仿宋" w:cs="仿宋"/>
          <w:sz w:val="21"/>
          <w:szCs w:val="21"/>
          <w:highlight w:val="none"/>
        </w:rPr>
        <w:t>地 址：</w:t>
      </w:r>
    </w:p>
    <w:p>
      <w:pPr>
        <w:pStyle w:val="54"/>
        <w:wordWrap w:val="0"/>
        <w:topLinePunct/>
        <w:spacing w:before="0" w:after="0"/>
        <w:ind w:firstLine="478" w:firstLineChars="228"/>
        <w:rPr>
          <w:rFonts w:ascii="仿宋" w:hAnsi="仿宋" w:eastAsia="仿宋" w:cs="仿宋"/>
          <w:sz w:val="21"/>
          <w:szCs w:val="21"/>
          <w:highlight w:val="none"/>
        </w:rPr>
      </w:pPr>
      <w:r>
        <w:rPr>
          <w:rFonts w:hint="eastAsia" w:ascii="仿宋" w:hAnsi="仿宋" w:eastAsia="仿宋" w:cs="仿宋"/>
          <w:sz w:val="21"/>
          <w:szCs w:val="21"/>
          <w:highlight w:val="none"/>
        </w:rPr>
        <w:t>邮 编：</w:t>
      </w:r>
    </w:p>
    <w:p>
      <w:pPr>
        <w:pStyle w:val="54"/>
        <w:wordWrap w:val="0"/>
        <w:topLinePunct/>
        <w:spacing w:before="0" w:after="0"/>
        <w:ind w:firstLine="478" w:firstLineChars="228"/>
        <w:rPr>
          <w:rFonts w:ascii="仿宋" w:hAnsi="仿宋" w:eastAsia="仿宋" w:cs="仿宋"/>
          <w:sz w:val="21"/>
          <w:szCs w:val="21"/>
          <w:highlight w:val="none"/>
        </w:rPr>
      </w:pPr>
      <w:r>
        <w:rPr>
          <w:rFonts w:hint="eastAsia" w:ascii="仿宋" w:hAnsi="仿宋" w:eastAsia="仿宋" w:cs="仿宋"/>
          <w:sz w:val="21"/>
          <w:szCs w:val="21"/>
          <w:highlight w:val="none"/>
        </w:rPr>
        <w:t xml:space="preserve">电 话： </w:t>
      </w:r>
    </w:p>
    <w:p>
      <w:pPr>
        <w:pStyle w:val="54"/>
        <w:wordWrap w:val="0"/>
        <w:topLinePunct/>
        <w:spacing w:before="0" w:after="0"/>
        <w:ind w:firstLine="478" w:firstLineChars="228"/>
        <w:rPr>
          <w:rFonts w:ascii="仿宋" w:hAnsi="仿宋" w:eastAsia="仿宋" w:cs="仿宋"/>
          <w:sz w:val="21"/>
          <w:szCs w:val="21"/>
          <w:highlight w:val="none"/>
        </w:rPr>
      </w:pPr>
      <w:r>
        <w:rPr>
          <w:rFonts w:hint="eastAsia" w:ascii="仿宋" w:hAnsi="仿宋" w:eastAsia="仿宋" w:cs="仿宋"/>
          <w:sz w:val="21"/>
          <w:szCs w:val="21"/>
          <w:highlight w:val="none"/>
        </w:rPr>
        <w:t xml:space="preserve">传 真： </w:t>
      </w:r>
    </w:p>
    <w:p>
      <w:pPr>
        <w:pStyle w:val="54"/>
        <w:wordWrap w:val="0"/>
        <w:topLinePunct/>
        <w:spacing w:before="0" w:after="0"/>
        <w:ind w:firstLine="478" w:firstLineChars="228"/>
        <w:rPr>
          <w:rFonts w:ascii="仿宋" w:hAnsi="仿宋" w:eastAsia="仿宋" w:cs="仿宋"/>
          <w:sz w:val="21"/>
          <w:szCs w:val="21"/>
          <w:highlight w:val="none"/>
        </w:rPr>
      </w:pPr>
      <w:r>
        <w:rPr>
          <w:rFonts w:hint="eastAsia" w:ascii="仿宋" w:hAnsi="仿宋" w:eastAsia="仿宋" w:cs="仿宋"/>
          <w:sz w:val="21"/>
          <w:szCs w:val="21"/>
          <w:highlight w:val="none"/>
        </w:rPr>
        <w:t>投标人开户行：</w:t>
      </w:r>
    </w:p>
    <w:p>
      <w:pPr>
        <w:pStyle w:val="54"/>
        <w:wordWrap w:val="0"/>
        <w:topLinePunct/>
        <w:spacing w:before="0" w:after="0"/>
        <w:ind w:firstLine="478" w:firstLineChars="228"/>
        <w:rPr>
          <w:rFonts w:ascii="仿宋" w:hAnsi="仿宋" w:eastAsia="仿宋" w:cs="仿宋"/>
          <w:sz w:val="21"/>
          <w:szCs w:val="21"/>
          <w:highlight w:val="none"/>
        </w:rPr>
      </w:pPr>
      <w:r>
        <w:rPr>
          <w:rFonts w:hint="eastAsia" w:ascii="仿宋" w:hAnsi="仿宋" w:eastAsia="仿宋" w:cs="仿宋"/>
          <w:sz w:val="21"/>
          <w:szCs w:val="21"/>
          <w:highlight w:val="none"/>
        </w:rPr>
        <w:t xml:space="preserve">账 户： </w:t>
      </w:r>
    </w:p>
    <w:p>
      <w:pPr>
        <w:pStyle w:val="54"/>
        <w:wordWrap w:val="0"/>
        <w:topLinePunct/>
        <w:spacing w:before="0" w:after="0"/>
        <w:ind w:firstLine="478" w:firstLineChars="228"/>
        <w:rPr>
          <w:rFonts w:ascii="仿宋" w:hAnsi="仿宋" w:eastAsia="仿宋" w:cs="仿宋"/>
          <w:sz w:val="21"/>
          <w:szCs w:val="21"/>
          <w:highlight w:val="none"/>
        </w:rPr>
      </w:pPr>
      <w:r>
        <w:rPr>
          <w:rFonts w:hint="eastAsia" w:ascii="仿宋" w:hAnsi="仿宋" w:eastAsia="仿宋" w:cs="仿宋"/>
          <w:sz w:val="21"/>
          <w:szCs w:val="21"/>
          <w:highlight w:val="none"/>
        </w:rPr>
        <w:t>行 号：</w:t>
      </w:r>
    </w:p>
    <w:p>
      <w:pPr>
        <w:pStyle w:val="54"/>
        <w:wordWrap w:val="0"/>
        <w:topLinePunct/>
        <w:spacing w:before="0" w:after="0"/>
        <w:ind w:firstLine="478" w:firstLineChars="228"/>
        <w:rPr>
          <w:rFonts w:ascii="仿宋" w:hAnsi="仿宋" w:eastAsia="仿宋" w:cs="仿宋"/>
          <w:sz w:val="21"/>
          <w:szCs w:val="21"/>
          <w:highlight w:val="none"/>
        </w:rPr>
      </w:pPr>
      <w:r>
        <w:rPr>
          <w:rFonts w:hint="eastAsia" w:ascii="仿宋" w:hAnsi="仿宋" w:eastAsia="仿宋" w:cs="仿宋"/>
          <w:sz w:val="21"/>
          <w:szCs w:val="21"/>
          <w:highlight w:val="none"/>
        </w:rPr>
        <w:t xml:space="preserve">法定代表人或授权代表（签字）： </w:t>
      </w:r>
    </w:p>
    <w:p>
      <w:pPr>
        <w:pStyle w:val="54"/>
        <w:wordWrap w:val="0"/>
        <w:topLinePunct/>
        <w:spacing w:before="0" w:after="0"/>
        <w:ind w:firstLine="478" w:firstLineChars="228"/>
        <w:rPr>
          <w:rFonts w:ascii="仿宋" w:hAnsi="仿宋" w:eastAsia="仿宋" w:cs="仿宋"/>
          <w:sz w:val="21"/>
          <w:szCs w:val="21"/>
          <w:highlight w:val="none"/>
        </w:rPr>
      </w:pPr>
      <w:r>
        <w:rPr>
          <w:rFonts w:hint="eastAsia" w:ascii="仿宋" w:hAnsi="仿宋" w:eastAsia="仿宋" w:cs="仿宋"/>
          <w:sz w:val="21"/>
          <w:szCs w:val="21"/>
          <w:highlight w:val="none"/>
        </w:rPr>
        <w:t xml:space="preserve">投标人名称（公章）： </w:t>
      </w:r>
    </w:p>
    <w:p>
      <w:pPr>
        <w:pStyle w:val="54"/>
        <w:wordWrap w:val="0"/>
        <w:topLinePunct/>
        <w:spacing w:before="0" w:after="0"/>
        <w:ind w:firstLine="478" w:firstLineChars="228"/>
        <w:rPr>
          <w:rFonts w:ascii="仿宋" w:hAnsi="仿宋" w:eastAsia="仿宋" w:cs="仿宋"/>
          <w:sz w:val="21"/>
          <w:szCs w:val="21"/>
          <w:highlight w:val="none"/>
        </w:rPr>
      </w:pPr>
      <w:r>
        <w:rPr>
          <w:rFonts w:hint="eastAsia" w:ascii="仿宋" w:hAnsi="仿宋" w:eastAsia="仿宋" w:cs="仿宋"/>
          <w:sz w:val="21"/>
          <w:szCs w:val="21"/>
          <w:highlight w:val="none"/>
        </w:rPr>
        <w:t>日 期：________年____月____日</w:t>
      </w:r>
    </w:p>
    <w:p>
      <w:pPr>
        <w:pStyle w:val="54"/>
        <w:wordWrap w:val="0"/>
        <w:topLinePunct/>
        <w:spacing w:before="0" w:after="0"/>
        <w:ind w:firstLine="478" w:firstLineChars="228"/>
        <w:rPr>
          <w:rFonts w:ascii="仿宋" w:hAnsi="仿宋" w:eastAsia="仿宋" w:cs="仿宋"/>
          <w:sz w:val="21"/>
          <w:szCs w:val="21"/>
          <w:highlight w:val="none"/>
        </w:rPr>
      </w:pPr>
      <w:r>
        <w:rPr>
          <w:rFonts w:hint="eastAsia" w:ascii="仿宋" w:hAnsi="仿宋" w:eastAsia="仿宋" w:cs="仿宋"/>
          <w:sz w:val="21"/>
          <w:szCs w:val="21"/>
          <w:highlight w:val="none"/>
        </w:rPr>
        <w:br w:type="page"/>
      </w:r>
    </w:p>
    <w:p>
      <w:pPr>
        <w:wordWrap w:val="0"/>
        <w:topLinePunct/>
        <w:spacing w:line="360" w:lineRule="auto"/>
        <w:ind w:firstLine="422" w:firstLineChars="200"/>
        <w:jc w:val="center"/>
        <w:rPr>
          <w:rFonts w:ascii="仿宋" w:hAnsi="仿宋" w:eastAsia="仿宋" w:cs="仿宋"/>
          <w:b/>
          <w:bCs/>
          <w:kern w:val="0"/>
          <w:szCs w:val="21"/>
          <w:highlight w:val="none"/>
        </w:rPr>
      </w:pPr>
      <w:r>
        <w:rPr>
          <w:rFonts w:hint="eastAsia" w:ascii="仿宋" w:hAnsi="仿宋" w:eastAsia="仿宋" w:cs="仿宋"/>
          <w:b/>
          <w:bCs/>
          <w:kern w:val="0"/>
          <w:szCs w:val="21"/>
          <w:highlight w:val="none"/>
        </w:rPr>
        <w:t>资 格 声 明</w:t>
      </w:r>
    </w:p>
    <w:p>
      <w:pPr>
        <w:wordWrap w:val="0"/>
        <w:topLinePunct/>
        <w:spacing w:line="360" w:lineRule="auto"/>
        <w:ind w:firstLine="420" w:firstLineChars="200"/>
        <w:jc w:val="left"/>
        <w:rPr>
          <w:rFonts w:ascii="仿宋" w:hAnsi="仿宋" w:eastAsia="仿宋" w:cs="仿宋"/>
          <w:b/>
          <w:bCs/>
          <w:kern w:val="0"/>
          <w:szCs w:val="21"/>
          <w:highlight w:val="none"/>
        </w:rPr>
      </w:pPr>
      <w:r>
        <w:rPr>
          <w:rFonts w:hint="eastAsia" w:ascii="仿宋" w:hAnsi="仿宋" w:eastAsia="仿宋" w:cs="仿宋"/>
          <w:kern w:val="0"/>
          <w:szCs w:val="21"/>
          <w:highlight w:val="none"/>
        </w:rPr>
        <w:t>1、名称及其它情况：</w:t>
      </w:r>
    </w:p>
    <w:p>
      <w:pPr>
        <w:wordWrap w:val="0"/>
        <w:topLinePunct/>
        <w:spacing w:line="360" w:lineRule="auto"/>
        <w:ind w:firstLine="315" w:firstLineChars="150"/>
        <w:rPr>
          <w:rFonts w:ascii="仿宋" w:hAnsi="仿宋" w:eastAsia="仿宋" w:cs="仿宋"/>
          <w:kern w:val="0"/>
          <w:szCs w:val="21"/>
          <w:highlight w:val="none"/>
        </w:rPr>
      </w:pPr>
      <w:r>
        <w:rPr>
          <w:rFonts w:hint="eastAsia" w:ascii="仿宋" w:hAnsi="仿宋" w:eastAsia="仿宋" w:cs="仿宋"/>
          <w:kern w:val="0"/>
          <w:szCs w:val="21"/>
          <w:highlight w:val="none"/>
        </w:rPr>
        <w:t>（1）投标人名称：</w:t>
      </w:r>
      <w:r>
        <w:rPr>
          <w:rFonts w:hint="eastAsia" w:ascii="仿宋" w:hAnsi="仿宋" w:eastAsia="仿宋" w:cs="仿宋"/>
          <w:kern w:val="0"/>
          <w:szCs w:val="21"/>
          <w:highlight w:val="none"/>
          <w:u w:val="single"/>
        </w:rPr>
        <w:t xml:space="preserve">                            </w:t>
      </w:r>
    </w:p>
    <w:p>
      <w:pPr>
        <w:tabs>
          <w:tab w:val="left" w:pos="4530"/>
        </w:tabs>
        <w:wordWrap w:val="0"/>
        <w:topLinePunct/>
        <w:spacing w:line="360" w:lineRule="auto"/>
        <w:ind w:firstLine="315" w:firstLineChars="150"/>
        <w:rPr>
          <w:rFonts w:ascii="仿宋" w:hAnsi="仿宋" w:eastAsia="仿宋" w:cs="仿宋"/>
          <w:kern w:val="0"/>
          <w:szCs w:val="21"/>
          <w:highlight w:val="none"/>
        </w:rPr>
      </w:pPr>
      <w:r>
        <w:rPr>
          <w:rFonts w:hint="eastAsia" w:ascii="仿宋" w:hAnsi="仿宋" w:eastAsia="仿宋" w:cs="仿宋"/>
          <w:kern w:val="0"/>
          <w:szCs w:val="21"/>
          <w:highlight w:val="none"/>
        </w:rPr>
        <w:t>（2）地址：</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ab/>
      </w:r>
      <w:r>
        <w:rPr>
          <w:rFonts w:hint="eastAsia" w:ascii="仿宋" w:hAnsi="仿宋" w:eastAsia="仿宋" w:cs="仿宋"/>
          <w:kern w:val="0"/>
          <w:szCs w:val="21"/>
          <w:highlight w:val="none"/>
        </w:rPr>
        <w:t>邮编：</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 xml:space="preserve"> </w:t>
      </w:r>
    </w:p>
    <w:p>
      <w:pPr>
        <w:tabs>
          <w:tab w:val="left" w:pos="600"/>
          <w:tab w:val="left" w:pos="4320"/>
        </w:tabs>
        <w:wordWrap w:val="0"/>
        <w:topLinePunct/>
        <w:spacing w:line="360" w:lineRule="auto"/>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电话：</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 xml:space="preserve">  传真：</w:t>
      </w:r>
      <w:r>
        <w:rPr>
          <w:rFonts w:hint="eastAsia" w:ascii="仿宋" w:hAnsi="仿宋" w:eastAsia="仿宋" w:cs="仿宋"/>
          <w:kern w:val="0"/>
          <w:szCs w:val="21"/>
          <w:highlight w:val="none"/>
          <w:u w:val="single"/>
        </w:rPr>
        <w:t xml:space="preserve">                  </w:t>
      </w:r>
    </w:p>
    <w:p>
      <w:pPr>
        <w:wordWrap w:val="0"/>
        <w:topLinePunct/>
        <w:spacing w:line="360" w:lineRule="auto"/>
        <w:ind w:firstLine="315" w:firstLineChars="150"/>
        <w:rPr>
          <w:rFonts w:ascii="仿宋" w:hAnsi="仿宋" w:eastAsia="仿宋" w:cs="仿宋"/>
          <w:kern w:val="0"/>
          <w:szCs w:val="21"/>
          <w:highlight w:val="none"/>
          <w:u w:val="single"/>
        </w:rPr>
      </w:pPr>
      <w:r>
        <w:rPr>
          <w:rFonts w:hint="eastAsia" w:ascii="仿宋" w:hAnsi="仿宋" w:eastAsia="仿宋" w:cs="仿宋"/>
          <w:kern w:val="0"/>
          <w:szCs w:val="21"/>
          <w:highlight w:val="none"/>
        </w:rPr>
        <w:t>（3）成立和/或注册日期：</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 xml:space="preserve"> </w:t>
      </w:r>
    </w:p>
    <w:p>
      <w:pPr>
        <w:wordWrap w:val="0"/>
        <w:topLinePunct/>
        <w:spacing w:line="360" w:lineRule="auto"/>
        <w:ind w:firstLine="315" w:firstLineChars="150"/>
        <w:rPr>
          <w:rFonts w:ascii="仿宋" w:hAnsi="仿宋" w:eastAsia="仿宋" w:cs="仿宋"/>
          <w:kern w:val="0"/>
          <w:szCs w:val="21"/>
          <w:highlight w:val="none"/>
        </w:rPr>
      </w:pPr>
      <w:r>
        <w:rPr>
          <w:rFonts w:hint="eastAsia" w:ascii="仿宋" w:hAnsi="仿宋" w:eastAsia="仿宋" w:cs="仿宋"/>
          <w:kern w:val="0"/>
          <w:szCs w:val="21"/>
          <w:highlight w:val="none"/>
        </w:rPr>
        <w:t>（4）法定代表人：</w:t>
      </w:r>
      <w:r>
        <w:rPr>
          <w:rFonts w:hint="eastAsia" w:ascii="仿宋" w:hAnsi="仿宋" w:eastAsia="仿宋" w:cs="仿宋"/>
          <w:kern w:val="0"/>
          <w:szCs w:val="21"/>
          <w:highlight w:val="none"/>
          <w:u w:val="single"/>
        </w:rPr>
        <w:t xml:space="preserve">                    </w:t>
      </w:r>
    </w:p>
    <w:p>
      <w:pPr>
        <w:wordWrap w:val="0"/>
        <w:topLinePunct/>
        <w:spacing w:line="360" w:lineRule="auto"/>
        <w:ind w:firstLine="315" w:firstLineChars="150"/>
        <w:rPr>
          <w:rFonts w:ascii="仿宋" w:hAnsi="仿宋" w:eastAsia="仿宋" w:cs="仿宋"/>
          <w:kern w:val="0"/>
          <w:szCs w:val="21"/>
          <w:highlight w:val="none"/>
          <w:u w:val="single"/>
        </w:rPr>
      </w:pPr>
      <w:r>
        <w:rPr>
          <w:rFonts w:hint="eastAsia" w:ascii="仿宋" w:hAnsi="仿宋" w:eastAsia="仿宋" w:cs="仿宋"/>
          <w:kern w:val="0"/>
          <w:szCs w:val="21"/>
          <w:highlight w:val="none"/>
        </w:rPr>
        <w:t>（5）实收资本：</w:t>
      </w:r>
      <w:r>
        <w:rPr>
          <w:rFonts w:hint="eastAsia" w:ascii="仿宋" w:hAnsi="仿宋" w:eastAsia="仿宋" w:cs="仿宋"/>
          <w:kern w:val="0"/>
          <w:szCs w:val="21"/>
          <w:highlight w:val="none"/>
          <w:u w:val="single"/>
        </w:rPr>
        <w:t xml:space="preserve">                                 </w:t>
      </w:r>
    </w:p>
    <w:p>
      <w:pPr>
        <w:wordWrap w:val="0"/>
        <w:topLinePunct/>
        <w:spacing w:line="360" w:lineRule="auto"/>
        <w:ind w:firstLine="315" w:firstLineChars="150"/>
        <w:rPr>
          <w:rFonts w:ascii="仿宋" w:hAnsi="仿宋" w:eastAsia="仿宋" w:cs="仿宋"/>
          <w:kern w:val="0"/>
          <w:szCs w:val="21"/>
          <w:highlight w:val="none"/>
        </w:rPr>
      </w:pPr>
      <w:r>
        <w:rPr>
          <w:rFonts w:hint="eastAsia" w:ascii="仿宋" w:hAnsi="仿宋" w:eastAsia="仿宋" w:cs="仿宋"/>
          <w:kern w:val="0"/>
          <w:szCs w:val="21"/>
          <w:highlight w:val="none"/>
        </w:rPr>
        <w:t>（6）近期资产负债表：（到</w:t>
      </w:r>
      <w:r>
        <w:rPr>
          <w:rFonts w:hint="eastAsia" w:ascii="仿宋" w:hAnsi="仿宋" w:eastAsia="仿宋" w:cs="仿宋"/>
          <w:kern w:val="0"/>
          <w:szCs w:val="21"/>
          <w:highlight w:val="none"/>
          <w:u w:val="single"/>
        </w:rPr>
        <w:t>20  年12月31日</w:t>
      </w:r>
      <w:r>
        <w:rPr>
          <w:rFonts w:hint="eastAsia" w:ascii="仿宋" w:hAnsi="仿宋" w:eastAsia="仿宋" w:cs="仿宋"/>
          <w:kern w:val="0"/>
          <w:szCs w:val="21"/>
          <w:highlight w:val="none"/>
        </w:rPr>
        <w:t>）</w:t>
      </w:r>
    </w:p>
    <w:p>
      <w:pPr>
        <w:wordWrap w:val="0"/>
        <w:topLinePunct/>
        <w:spacing w:line="360" w:lineRule="auto"/>
        <w:ind w:firstLine="420" w:firstLineChars="200"/>
        <w:rPr>
          <w:rFonts w:ascii="仿宋" w:hAnsi="仿宋" w:eastAsia="仿宋" w:cs="仿宋"/>
          <w:kern w:val="0"/>
          <w:highlight w:val="none"/>
        </w:rPr>
      </w:pPr>
      <w:r>
        <w:rPr>
          <w:rFonts w:hint="eastAsia" w:ascii="仿宋" w:hAnsi="仿宋" w:eastAsia="仿宋" w:cs="仿宋"/>
          <w:kern w:val="0"/>
          <w:highlight w:val="none"/>
        </w:rPr>
        <w:t>&lt;1&gt; 固定资产：</w:t>
      </w:r>
      <w:r>
        <w:rPr>
          <w:rFonts w:hint="eastAsia" w:ascii="仿宋" w:hAnsi="仿宋" w:eastAsia="仿宋" w:cs="仿宋"/>
          <w:kern w:val="0"/>
          <w:highlight w:val="none"/>
          <w:u w:val="single"/>
        </w:rPr>
        <w:t xml:space="preserve">                          </w:t>
      </w:r>
    </w:p>
    <w:p>
      <w:pPr>
        <w:wordWrap w:val="0"/>
        <w:topLinePunct/>
        <w:spacing w:line="360" w:lineRule="auto"/>
        <w:ind w:firstLine="420" w:firstLineChars="200"/>
        <w:rPr>
          <w:rFonts w:ascii="仿宋" w:hAnsi="仿宋" w:eastAsia="仿宋" w:cs="仿宋"/>
          <w:kern w:val="0"/>
          <w:highlight w:val="none"/>
        </w:rPr>
      </w:pPr>
      <w:r>
        <w:rPr>
          <w:rFonts w:hint="eastAsia" w:ascii="仿宋" w:hAnsi="仿宋" w:eastAsia="仿宋" w:cs="仿宋"/>
          <w:kern w:val="0"/>
          <w:highlight w:val="none"/>
        </w:rPr>
        <w:t>&lt;2&gt; 流动资金：</w:t>
      </w:r>
      <w:r>
        <w:rPr>
          <w:rFonts w:hint="eastAsia" w:ascii="仿宋" w:hAnsi="仿宋" w:eastAsia="仿宋" w:cs="仿宋"/>
          <w:kern w:val="0"/>
          <w:highlight w:val="none"/>
          <w:u w:val="single"/>
        </w:rPr>
        <w:t xml:space="preserve">                          </w:t>
      </w:r>
    </w:p>
    <w:p>
      <w:pPr>
        <w:wordWrap w:val="0"/>
        <w:topLinePunct/>
        <w:spacing w:line="360" w:lineRule="auto"/>
        <w:ind w:firstLine="420" w:firstLineChars="200"/>
        <w:rPr>
          <w:rFonts w:ascii="仿宋" w:hAnsi="仿宋" w:eastAsia="仿宋" w:cs="仿宋"/>
          <w:kern w:val="0"/>
          <w:highlight w:val="none"/>
        </w:rPr>
      </w:pPr>
      <w:r>
        <w:rPr>
          <w:rFonts w:hint="eastAsia" w:ascii="仿宋" w:hAnsi="仿宋" w:eastAsia="仿宋" w:cs="仿宋"/>
          <w:kern w:val="0"/>
          <w:highlight w:val="none"/>
        </w:rPr>
        <w:t>&lt;3&gt; 长期负债：</w:t>
      </w:r>
      <w:r>
        <w:rPr>
          <w:rFonts w:hint="eastAsia" w:ascii="仿宋" w:hAnsi="仿宋" w:eastAsia="仿宋" w:cs="仿宋"/>
          <w:kern w:val="0"/>
          <w:highlight w:val="none"/>
          <w:u w:val="single"/>
        </w:rPr>
        <w:t xml:space="preserve">                          </w:t>
      </w:r>
    </w:p>
    <w:p>
      <w:pPr>
        <w:wordWrap w:val="0"/>
        <w:topLinePunct/>
        <w:spacing w:line="360" w:lineRule="auto"/>
        <w:ind w:firstLine="420" w:firstLineChars="200"/>
        <w:rPr>
          <w:rFonts w:ascii="仿宋" w:hAnsi="仿宋" w:eastAsia="仿宋" w:cs="仿宋"/>
          <w:kern w:val="0"/>
          <w:highlight w:val="none"/>
        </w:rPr>
      </w:pPr>
      <w:r>
        <w:rPr>
          <w:rFonts w:hint="eastAsia" w:ascii="仿宋" w:hAnsi="仿宋" w:eastAsia="仿宋" w:cs="仿宋"/>
          <w:kern w:val="0"/>
          <w:highlight w:val="none"/>
        </w:rPr>
        <w:t>&lt;4&gt; 短期负债：</w:t>
      </w:r>
      <w:r>
        <w:rPr>
          <w:rFonts w:hint="eastAsia" w:ascii="仿宋" w:hAnsi="仿宋" w:eastAsia="仿宋" w:cs="仿宋"/>
          <w:kern w:val="0"/>
          <w:highlight w:val="none"/>
          <w:u w:val="single"/>
        </w:rPr>
        <w:t xml:space="preserve">                          </w:t>
      </w:r>
    </w:p>
    <w:p>
      <w:pPr>
        <w:wordWrap w:val="0"/>
        <w:topLinePunct/>
        <w:spacing w:line="360" w:lineRule="auto"/>
        <w:ind w:firstLine="420" w:firstLineChars="200"/>
        <w:rPr>
          <w:rFonts w:ascii="仿宋" w:hAnsi="仿宋" w:eastAsia="仿宋" w:cs="仿宋"/>
          <w:kern w:val="0"/>
          <w:highlight w:val="none"/>
        </w:rPr>
      </w:pPr>
      <w:r>
        <w:rPr>
          <w:rFonts w:hint="eastAsia" w:ascii="仿宋" w:hAnsi="仿宋" w:eastAsia="仿宋" w:cs="仿宋"/>
          <w:kern w:val="0"/>
          <w:highlight w:val="none"/>
        </w:rPr>
        <w:t>2、近三年同类投标货物和服务的主要销售业绩（无有效联系人、联系方式和合同复印件的视为未填报本项目）：</w:t>
      </w:r>
    </w:p>
    <w:tbl>
      <w:tblPr>
        <w:tblStyle w:val="26"/>
        <w:tblW w:w="5000" w:type="pct"/>
        <w:tblInd w:w="0" w:type="dxa"/>
        <w:tblLayout w:type="autofit"/>
        <w:tblCellMar>
          <w:top w:w="0" w:type="dxa"/>
          <w:left w:w="108" w:type="dxa"/>
          <w:bottom w:w="0" w:type="dxa"/>
          <w:right w:w="108" w:type="dxa"/>
        </w:tblCellMar>
      </w:tblPr>
      <w:tblGrid>
        <w:gridCol w:w="4270"/>
        <w:gridCol w:w="4252"/>
      </w:tblGrid>
      <w:tr>
        <w:tblPrEx>
          <w:tblCellMar>
            <w:top w:w="0" w:type="dxa"/>
            <w:left w:w="108" w:type="dxa"/>
            <w:bottom w:w="0" w:type="dxa"/>
            <w:right w:w="108" w:type="dxa"/>
          </w:tblCellMar>
        </w:tblPrEx>
        <w:trPr>
          <w:trHeight w:val="567" w:hRule="atLeast"/>
        </w:trPr>
        <w:tc>
          <w:tcPr>
            <w:tcW w:w="2505" w:type="pct"/>
            <w:vAlign w:val="center"/>
          </w:tcPr>
          <w:p>
            <w:pPr>
              <w:wordWrap w:val="0"/>
              <w:topLinePunct/>
              <w:adjustRightInd w:val="0"/>
              <w:snapToGrid w:val="0"/>
              <w:jc w:val="center"/>
              <w:rPr>
                <w:rFonts w:ascii="仿宋" w:hAnsi="仿宋" w:eastAsia="仿宋" w:cs="仿宋"/>
                <w:kern w:val="0"/>
                <w:highlight w:val="none"/>
                <w:u w:val="single"/>
              </w:rPr>
            </w:pPr>
            <w:r>
              <w:rPr>
                <w:rFonts w:hint="eastAsia" w:ascii="仿宋" w:hAnsi="仿宋" w:eastAsia="仿宋" w:cs="仿宋"/>
                <w:kern w:val="0"/>
                <w:highlight w:val="none"/>
                <w:u w:val="single"/>
              </w:rPr>
              <w:t>甲方名称、联系人、联系方式</w:t>
            </w:r>
          </w:p>
        </w:tc>
        <w:tc>
          <w:tcPr>
            <w:tcW w:w="2494" w:type="pct"/>
            <w:vAlign w:val="center"/>
          </w:tcPr>
          <w:p>
            <w:pPr>
              <w:wordWrap w:val="0"/>
              <w:topLinePunct/>
              <w:adjustRightInd w:val="0"/>
              <w:snapToGrid w:val="0"/>
              <w:jc w:val="center"/>
              <w:rPr>
                <w:rFonts w:ascii="仿宋" w:hAnsi="仿宋" w:eastAsia="仿宋" w:cs="仿宋"/>
                <w:kern w:val="0"/>
                <w:highlight w:val="none"/>
                <w:u w:val="single"/>
              </w:rPr>
            </w:pPr>
            <w:r>
              <w:rPr>
                <w:rFonts w:hint="eastAsia" w:ascii="仿宋" w:hAnsi="仿宋" w:eastAsia="仿宋" w:cs="仿宋"/>
                <w:kern w:val="0"/>
                <w:highlight w:val="none"/>
                <w:u w:val="single"/>
              </w:rPr>
              <w:t>项   目   名   称</w:t>
            </w:r>
          </w:p>
        </w:tc>
      </w:tr>
      <w:tr>
        <w:tblPrEx>
          <w:tblCellMar>
            <w:top w:w="0" w:type="dxa"/>
            <w:left w:w="108" w:type="dxa"/>
            <w:bottom w:w="0" w:type="dxa"/>
            <w:right w:w="108" w:type="dxa"/>
          </w:tblCellMar>
        </w:tblPrEx>
        <w:trPr>
          <w:trHeight w:val="567" w:hRule="atLeast"/>
        </w:trPr>
        <w:tc>
          <w:tcPr>
            <w:tcW w:w="2505" w:type="pct"/>
            <w:vAlign w:val="center"/>
          </w:tcPr>
          <w:p>
            <w:pPr>
              <w:wordWrap w:val="0"/>
              <w:topLinePunct/>
              <w:adjustRightInd w:val="0"/>
              <w:snapToGrid w:val="0"/>
              <w:jc w:val="center"/>
              <w:rPr>
                <w:rFonts w:ascii="仿宋" w:hAnsi="仿宋" w:eastAsia="仿宋" w:cs="仿宋"/>
                <w:kern w:val="0"/>
                <w:highlight w:val="none"/>
              </w:rPr>
            </w:pPr>
          </w:p>
        </w:tc>
        <w:tc>
          <w:tcPr>
            <w:tcW w:w="2494" w:type="pct"/>
            <w:vAlign w:val="center"/>
          </w:tcPr>
          <w:p>
            <w:pPr>
              <w:wordWrap w:val="0"/>
              <w:topLinePunct/>
              <w:adjustRightInd w:val="0"/>
              <w:snapToGrid w:val="0"/>
              <w:jc w:val="center"/>
              <w:rPr>
                <w:rFonts w:ascii="仿宋" w:hAnsi="仿宋" w:eastAsia="仿宋" w:cs="仿宋"/>
                <w:kern w:val="0"/>
                <w:highlight w:val="none"/>
              </w:rPr>
            </w:pPr>
          </w:p>
        </w:tc>
      </w:tr>
      <w:tr>
        <w:tblPrEx>
          <w:tblCellMar>
            <w:top w:w="0" w:type="dxa"/>
            <w:left w:w="108" w:type="dxa"/>
            <w:bottom w:w="0" w:type="dxa"/>
            <w:right w:w="108" w:type="dxa"/>
          </w:tblCellMar>
        </w:tblPrEx>
        <w:trPr>
          <w:trHeight w:val="567" w:hRule="atLeast"/>
        </w:trPr>
        <w:tc>
          <w:tcPr>
            <w:tcW w:w="2505" w:type="pct"/>
            <w:vAlign w:val="center"/>
          </w:tcPr>
          <w:p>
            <w:pPr>
              <w:wordWrap w:val="0"/>
              <w:topLinePunct/>
              <w:adjustRightInd w:val="0"/>
              <w:snapToGrid w:val="0"/>
              <w:jc w:val="center"/>
              <w:rPr>
                <w:rFonts w:ascii="仿宋" w:hAnsi="仿宋" w:eastAsia="仿宋" w:cs="仿宋"/>
                <w:kern w:val="0"/>
                <w:highlight w:val="none"/>
              </w:rPr>
            </w:pPr>
          </w:p>
        </w:tc>
        <w:tc>
          <w:tcPr>
            <w:tcW w:w="2494" w:type="pct"/>
            <w:vAlign w:val="center"/>
          </w:tcPr>
          <w:p>
            <w:pPr>
              <w:wordWrap w:val="0"/>
              <w:topLinePunct/>
              <w:adjustRightInd w:val="0"/>
              <w:snapToGrid w:val="0"/>
              <w:jc w:val="center"/>
              <w:rPr>
                <w:rFonts w:ascii="仿宋" w:hAnsi="仿宋" w:eastAsia="仿宋" w:cs="仿宋"/>
                <w:kern w:val="0"/>
                <w:highlight w:val="none"/>
              </w:rPr>
            </w:pPr>
          </w:p>
        </w:tc>
      </w:tr>
    </w:tbl>
    <w:p>
      <w:pPr>
        <w:wordWrap w:val="0"/>
        <w:topLinePunct/>
        <w:spacing w:line="360" w:lineRule="auto"/>
        <w:rPr>
          <w:rFonts w:ascii="仿宋" w:hAnsi="仿宋" w:eastAsia="仿宋" w:cs="仿宋"/>
          <w:kern w:val="0"/>
          <w:highlight w:val="none"/>
        </w:rPr>
      </w:pPr>
    </w:p>
    <w:p>
      <w:pPr>
        <w:wordWrap w:val="0"/>
        <w:topLinePunct/>
        <w:spacing w:line="360" w:lineRule="auto"/>
        <w:ind w:left="105" w:leftChars="50" w:firstLine="315" w:firstLineChars="150"/>
        <w:rPr>
          <w:rFonts w:ascii="仿宋" w:hAnsi="仿宋" w:eastAsia="仿宋" w:cs="仿宋"/>
          <w:kern w:val="0"/>
          <w:sz w:val="22"/>
          <w:highlight w:val="none"/>
        </w:rPr>
      </w:pPr>
      <w:r>
        <w:rPr>
          <w:rFonts w:hint="eastAsia" w:ascii="仿宋" w:hAnsi="仿宋" w:eastAsia="仿宋" w:cs="仿宋"/>
          <w:kern w:val="0"/>
          <w:highlight w:val="none"/>
        </w:rPr>
        <w:t>3、本次招标要求的其他资格文件以及投标人认为需要声明的其他情况：</w:t>
      </w:r>
      <w:r>
        <w:rPr>
          <w:rFonts w:hint="eastAsia" w:ascii="仿宋" w:hAnsi="仿宋" w:eastAsia="仿宋" w:cs="仿宋"/>
          <w:kern w:val="0"/>
          <w:highlight w:val="none"/>
          <w:u w:val="single"/>
        </w:rPr>
        <w:t xml:space="preserve">                         </w:t>
      </w:r>
    </w:p>
    <w:p>
      <w:pPr>
        <w:wordWrap w:val="0"/>
        <w:topLinePunct/>
        <w:spacing w:line="360" w:lineRule="auto"/>
        <w:ind w:firstLine="420" w:firstLineChars="200"/>
        <w:rPr>
          <w:rFonts w:ascii="仿宋" w:hAnsi="仿宋" w:eastAsia="仿宋" w:cs="仿宋"/>
          <w:kern w:val="0"/>
          <w:highlight w:val="none"/>
        </w:rPr>
      </w:pPr>
      <w:r>
        <w:rPr>
          <w:rFonts w:hint="eastAsia" w:ascii="仿宋" w:hAnsi="仿宋" w:eastAsia="仿宋" w:cs="仿宋"/>
          <w:kern w:val="0"/>
          <w:highlight w:val="none"/>
        </w:rPr>
        <w:t>兹证明上述声明是真实的、正确的，并提供了全部能提供的资料和数据，我们同意遵照贵方要求出示有关证明文件，如有虚假，自愿丧失中标资格。</w:t>
      </w:r>
    </w:p>
    <w:p>
      <w:pPr>
        <w:wordWrap w:val="0"/>
        <w:topLinePunct/>
        <w:spacing w:line="360" w:lineRule="auto"/>
        <w:rPr>
          <w:rFonts w:ascii="仿宋" w:hAnsi="仿宋" w:eastAsia="仿宋" w:cs="仿宋"/>
          <w:kern w:val="0"/>
          <w:highlight w:val="none"/>
        </w:rPr>
      </w:pPr>
      <w:r>
        <w:rPr>
          <w:rFonts w:hint="eastAsia" w:ascii="仿宋" w:hAnsi="仿宋" w:eastAsia="仿宋" w:cs="仿宋"/>
          <w:kern w:val="0"/>
          <w:szCs w:val="21"/>
          <w:highlight w:val="none"/>
        </w:rPr>
        <w:t>投标人</w:t>
      </w:r>
      <w:r>
        <w:rPr>
          <w:rFonts w:hint="eastAsia" w:ascii="仿宋" w:hAnsi="仿宋" w:eastAsia="仿宋" w:cs="仿宋"/>
          <w:bCs/>
          <w:kern w:val="0"/>
          <w:szCs w:val="21"/>
          <w:highlight w:val="none"/>
        </w:rPr>
        <w:t>名称（公章）</w:t>
      </w:r>
      <w:r>
        <w:rPr>
          <w:rFonts w:hint="eastAsia" w:ascii="仿宋" w:hAnsi="仿宋" w:eastAsia="仿宋" w:cs="仿宋"/>
          <w:kern w:val="0"/>
          <w:highlight w:val="none"/>
        </w:rPr>
        <w:t>：</w:t>
      </w:r>
      <w:r>
        <w:rPr>
          <w:rFonts w:hint="eastAsia" w:ascii="仿宋" w:hAnsi="仿宋" w:eastAsia="仿宋" w:cs="仿宋"/>
          <w:kern w:val="0"/>
          <w:highlight w:val="none"/>
          <w:u w:val="single"/>
        </w:rPr>
        <w:t xml:space="preserve">                         </w:t>
      </w:r>
    </w:p>
    <w:p>
      <w:pPr>
        <w:wordWrap w:val="0"/>
        <w:topLinePunct/>
        <w:spacing w:line="360" w:lineRule="auto"/>
        <w:rPr>
          <w:rFonts w:ascii="仿宋" w:hAnsi="仿宋" w:eastAsia="仿宋" w:cs="仿宋"/>
          <w:kern w:val="0"/>
          <w:highlight w:val="none"/>
        </w:rPr>
      </w:pPr>
      <w:r>
        <w:rPr>
          <w:rFonts w:hint="eastAsia" w:ascii="仿宋" w:hAnsi="仿宋" w:eastAsia="仿宋" w:cs="仿宋"/>
          <w:kern w:val="0"/>
          <w:szCs w:val="21"/>
          <w:highlight w:val="none"/>
        </w:rPr>
        <w:t>法定代表人或授权代表（签字）</w:t>
      </w:r>
      <w:r>
        <w:rPr>
          <w:rFonts w:hint="eastAsia" w:ascii="仿宋" w:hAnsi="仿宋" w:eastAsia="仿宋" w:cs="仿宋"/>
          <w:kern w:val="0"/>
          <w:highlight w:val="none"/>
        </w:rPr>
        <w:t>：</w:t>
      </w:r>
      <w:r>
        <w:rPr>
          <w:rFonts w:hint="eastAsia" w:ascii="仿宋" w:hAnsi="仿宋" w:eastAsia="仿宋" w:cs="仿宋"/>
          <w:kern w:val="0"/>
          <w:highlight w:val="none"/>
          <w:u w:val="single"/>
        </w:rPr>
        <w:t xml:space="preserve">                          </w:t>
      </w:r>
    </w:p>
    <w:p>
      <w:pPr>
        <w:wordWrap w:val="0"/>
        <w:topLinePunct/>
        <w:spacing w:line="360" w:lineRule="auto"/>
        <w:rPr>
          <w:rFonts w:ascii="仿宋" w:hAnsi="仿宋" w:eastAsia="仿宋" w:cs="仿宋"/>
          <w:kern w:val="0"/>
          <w:highlight w:val="none"/>
        </w:rPr>
      </w:pPr>
      <w:r>
        <w:rPr>
          <w:rFonts w:hint="eastAsia" w:ascii="仿宋" w:hAnsi="仿宋" w:eastAsia="仿宋" w:cs="仿宋"/>
          <w:kern w:val="0"/>
          <w:highlight w:val="none"/>
        </w:rPr>
        <w:t>日期：</w:t>
      </w:r>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年</w:t>
      </w:r>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月</w:t>
      </w:r>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 xml:space="preserve">日        </w:t>
      </w:r>
    </w:p>
    <w:p>
      <w:pPr>
        <w:wordWrap w:val="0"/>
        <w:topLinePunct/>
        <w:spacing w:line="360" w:lineRule="auto"/>
        <w:rPr>
          <w:rFonts w:ascii="仿宋" w:hAnsi="仿宋" w:eastAsia="仿宋" w:cs="仿宋"/>
          <w:b/>
          <w:bCs/>
          <w:kern w:val="0"/>
          <w:highlight w:val="none"/>
        </w:rPr>
      </w:pPr>
      <w:r>
        <w:rPr>
          <w:rFonts w:hint="eastAsia" w:ascii="仿宋" w:hAnsi="仿宋" w:eastAsia="仿宋" w:cs="仿宋"/>
          <w:b/>
          <w:bCs/>
          <w:kern w:val="0"/>
          <w:highlight w:val="none"/>
        </w:rPr>
        <w:t>（注：资格声明为格式文件，请勿修改，否则将导致投标文件无效。）</w:t>
      </w:r>
    </w:p>
    <w:p>
      <w:pPr>
        <w:wordWrap w:val="0"/>
        <w:topLinePunct/>
        <w:spacing w:line="460" w:lineRule="exact"/>
        <w:rPr>
          <w:rFonts w:ascii="仿宋" w:hAnsi="仿宋" w:eastAsia="仿宋" w:cs="仿宋"/>
          <w:bCs/>
          <w:kern w:val="0"/>
          <w:sz w:val="24"/>
          <w:highlight w:val="none"/>
        </w:rPr>
      </w:pPr>
    </w:p>
    <w:p>
      <w:pPr>
        <w:wordWrap w:val="0"/>
        <w:topLinePunct/>
        <w:rPr>
          <w:rFonts w:ascii="仿宋" w:hAnsi="仿宋" w:eastAsia="仿宋" w:cs="仿宋"/>
          <w:bCs/>
          <w:kern w:val="0"/>
          <w:sz w:val="24"/>
          <w:highlight w:val="none"/>
        </w:rPr>
      </w:pPr>
      <w:r>
        <w:rPr>
          <w:rFonts w:hint="eastAsia" w:ascii="仿宋" w:hAnsi="仿宋" w:eastAsia="仿宋" w:cs="仿宋"/>
          <w:bCs/>
          <w:kern w:val="0"/>
          <w:sz w:val="24"/>
          <w:highlight w:val="none"/>
        </w:rPr>
        <w:br w:type="page"/>
      </w:r>
    </w:p>
    <w:p>
      <w:pPr>
        <w:wordWrap w:val="0"/>
        <w:topLinePunct/>
        <w:spacing w:line="460" w:lineRule="exact"/>
        <w:rPr>
          <w:rFonts w:ascii="仿宋" w:hAnsi="仿宋" w:eastAsia="仿宋" w:cs="仿宋"/>
          <w:kern w:val="0"/>
          <w:highlight w:val="none"/>
        </w:rPr>
      </w:pPr>
    </w:p>
    <w:p>
      <w:pPr>
        <w:pStyle w:val="63"/>
        <w:wordWrap w:val="0"/>
        <w:topLinePunct/>
        <w:spacing w:after="312" w:afterLines="100" w:line="360" w:lineRule="auto"/>
        <w:ind w:firstLine="422"/>
        <w:jc w:val="center"/>
        <w:rPr>
          <w:rFonts w:ascii="仿宋" w:hAnsi="仿宋" w:eastAsia="仿宋" w:cs="仿宋"/>
          <w:b/>
          <w:kern w:val="0"/>
          <w:sz w:val="21"/>
          <w:szCs w:val="21"/>
          <w:highlight w:val="none"/>
        </w:rPr>
      </w:pPr>
      <w:r>
        <w:rPr>
          <w:rFonts w:hint="eastAsia" w:ascii="仿宋" w:hAnsi="仿宋" w:eastAsia="仿宋" w:cs="仿宋"/>
          <w:b/>
          <w:kern w:val="0"/>
          <w:sz w:val="21"/>
          <w:szCs w:val="21"/>
          <w:highlight w:val="none"/>
        </w:rPr>
        <w:t>法人授权书</w:t>
      </w:r>
    </w:p>
    <w:p>
      <w:pPr>
        <w:pStyle w:val="63"/>
        <w:wordWrap w:val="0"/>
        <w:topLinePunct/>
        <w:spacing w:line="360" w:lineRule="auto"/>
        <w:ind w:firstLine="420"/>
        <w:rPr>
          <w:rFonts w:ascii="仿宋" w:hAnsi="仿宋" w:eastAsia="仿宋" w:cs="仿宋"/>
          <w:kern w:val="0"/>
          <w:sz w:val="21"/>
          <w:szCs w:val="21"/>
          <w:highlight w:val="none"/>
        </w:rPr>
      </w:pPr>
      <w:r>
        <w:rPr>
          <w:rFonts w:hint="eastAsia" w:ascii="仿宋" w:hAnsi="仿宋" w:eastAsia="仿宋" w:cs="仿宋"/>
          <w:kern w:val="0"/>
          <w:sz w:val="21"/>
          <w:szCs w:val="21"/>
          <w:highlight w:val="none"/>
        </w:rPr>
        <w:t>本授权书声明：________________（投标人名称）授权________________（被授权人的姓名）为我方就</w:t>
      </w:r>
      <w:r>
        <w:rPr>
          <w:rFonts w:hint="eastAsia" w:ascii="仿宋" w:hAnsi="仿宋" w:eastAsia="仿宋" w:cs="仿宋"/>
          <w:kern w:val="0"/>
          <w:sz w:val="21"/>
          <w:szCs w:val="21"/>
          <w:highlight w:val="none"/>
          <w:u w:val="single"/>
        </w:rPr>
        <w:t>JSDC-G-20240612001</w:t>
      </w:r>
      <w:r>
        <w:rPr>
          <w:rFonts w:hint="eastAsia" w:ascii="仿宋" w:hAnsi="仿宋" w:eastAsia="仿宋" w:cs="仿宋"/>
          <w:kern w:val="0"/>
          <w:sz w:val="21"/>
          <w:szCs w:val="21"/>
          <w:highlight w:val="none"/>
        </w:rPr>
        <w:t>号</w:t>
      </w:r>
      <w:r>
        <w:rPr>
          <w:rFonts w:hint="eastAsia" w:ascii="仿宋" w:hAnsi="仿宋" w:eastAsia="仿宋" w:cs="仿宋"/>
          <w:kern w:val="0"/>
          <w:sz w:val="21"/>
          <w:szCs w:val="21"/>
          <w:highlight w:val="none"/>
          <w:u w:val="single"/>
          <w:lang w:eastAsia="zh-CN"/>
        </w:rPr>
        <w:t>2024-2025年建盛公司燃气表具采购项目</w:t>
      </w:r>
      <w:r>
        <w:rPr>
          <w:rFonts w:hint="eastAsia" w:ascii="仿宋" w:hAnsi="仿宋" w:eastAsia="仿宋" w:cs="仿宋"/>
          <w:kern w:val="0"/>
          <w:sz w:val="21"/>
          <w:szCs w:val="21"/>
          <w:highlight w:val="none"/>
        </w:rPr>
        <w:t>采购活动的合法代理人，以本公司名义全权处理一切与该项目采购有关的事务。</w:t>
      </w:r>
    </w:p>
    <w:p>
      <w:pPr>
        <w:pStyle w:val="63"/>
        <w:wordWrap w:val="0"/>
        <w:topLinePunct/>
        <w:spacing w:line="360" w:lineRule="auto"/>
        <w:ind w:firstLine="420"/>
        <w:rPr>
          <w:rFonts w:ascii="仿宋" w:hAnsi="仿宋" w:eastAsia="仿宋" w:cs="仿宋"/>
          <w:kern w:val="0"/>
          <w:sz w:val="21"/>
          <w:szCs w:val="21"/>
          <w:highlight w:val="none"/>
        </w:rPr>
      </w:pPr>
      <w:r>
        <w:rPr>
          <w:rFonts w:hint="eastAsia" w:ascii="仿宋" w:hAnsi="仿宋" w:eastAsia="仿宋" w:cs="仿宋"/>
          <w:kern w:val="0"/>
          <w:sz w:val="21"/>
          <w:szCs w:val="21"/>
          <w:highlight w:val="none"/>
        </w:rPr>
        <w:t>本授权书于</w:t>
      </w:r>
      <w:r>
        <w:rPr>
          <w:rFonts w:hint="eastAsia" w:ascii="仿宋" w:hAnsi="仿宋" w:eastAsia="仿宋" w:cs="仿宋"/>
          <w:kern w:val="0"/>
          <w:sz w:val="21"/>
          <w:szCs w:val="21"/>
          <w:highlight w:val="none"/>
          <w:u w:val="single"/>
        </w:rPr>
        <w:t xml:space="preserve">     </w:t>
      </w:r>
      <w:r>
        <w:rPr>
          <w:rFonts w:hint="eastAsia" w:ascii="仿宋" w:hAnsi="仿宋" w:eastAsia="仿宋" w:cs="仿宋"/>
          <w:kern w:val="0"/>
          <w:sz w:val="21"/>
          <w:szCs w:val="21"/>
          <w:highlight w:val="none"/>
        </w:rPr>
        <w:t>年</w:t>
      </w:r>
      <w:r>
        <w:rPr>
          <w:rFonts w:hint="eastAsia" w:ascii="仿宋" w:hAnsi="仿宋" w:eastAsia="仿宋" w:cs="仿宋"/>
          <w:kern w:val="0"/>
          <w:sz w:val="21"/>
          <w:szCs w:val="21"/>
          <w:highlight w:val="none"/>
          <w:u w:val="single"/>
        </w:rPr>
        <w:t xml:space="preserve">     </w:t>
      </w:r>
      <w:r>
        <w:rPr>
          <w:rFonts w:hint="eastAsia" w:ascii="仿宋" w:hAnsi="仿宋" w:eastAsia="仿宋" w:cs="仿宋"/>
          <w:kern w:val="0"/>
          <w:sz w:val="21"/>
          <w:szCs w:val="21"/>
          <w:highlight w:val="none"/>
        </w:rPr>
        <w:t>月</w:t>
      </w:r>
      <w:r>
        <w:rPr>
          <w:rFonts w:hint="eastAsia" w:ascii="仿宋" w:hAnsi="仿宋" w:eastAsia="仿宋" w:cs="仿宋"/>
          <w:kern w:val="0"/>
          <w:sz w:val="21"/>
          <w:szCs w:val="21"/>
          <w:highlight w:val="none"/>
          <w:u w:val="single"/>
        </w:rPr>
        <w:t xml:space="preserve">     </w:t>
      </w:r>
      <w:r>
        <w:rPr>
          <w:rFonts w:hint="eastAsia" w:ascii="仿宋" w:hAnsi="仿宋" w:eastAsia="仿宋" w:cs="仿宋"/>
          <w:kern w:val="0"/>
          <w:sz w:val="21"/>
          <w:szCs w:val="21"/>
          <w:highlight w:val="none"/>
        </w:rPr>
        <w:t>日起生效，特此声明。</w:t>
      </w:r>
    </w:p>
    <w:p>
      <w:pPr>
        <w:pStyle w:val="63"/>
        <w:wordWrap w:val="0"/>
        <w:topLinePunct/>
        <w:spacing w:line="360" w:lineRule="auto"/>
        <w:ind w:firstLine="0" w:firstLineChars="0"/>
        <w:rPr>
          <w:rFonts w:ascii="仿宋" w:hAnsi="仿宋" w:eastAsia="仿宋" w:cs="仿宋"/>
          <w:kern w:val="0"/>
          <w:sz w:val="21"/>
          <w:szCs w:val="21"/>
          <w:highlight w:val="none"/>
        </w:rPr>
      </w:pPr>
      <w:r>
        <w:rPr>
          <w:rFonts w:hint="eastAsia" w:ascii="仿宋" w:hAnsi="仿宋" w:eastAsia="仿宋" w:cs="仿宋"/>
          <w:kern w:val="0"/>
          <w:sz w:val="21"/>
          <w:szCs w:val="21"/>
          <w:highlight w:val="none"/>
        </w:rPr>
        <w:t xml:space="preserve">    </w:t>
      </w:r>
    </w:p>
    <w:p>
      <w:pPr>
        <w:pStyle w:val="63"/>
        <w:wordWrap w:val="0"/>
        <w:topLinePunct/>
        <w:spacing w:line="360" w:lineRule="auto"/>
        <w:ind w:firstLine="420"/>
        <w:rPr>
          <w:rFonts w:ascii="仿宋" w:hAnsi="仿宋" w:eastAsia="仿宋" w:cs="仿宋"/>
          <w:kern w:val="0"/>
          <w:sz w:val="21"/>
          <w:szCs w:val="21"/>
          <w:highlight w:val="none"/>
        </w:rPr>
      </w:pPr>
      <w:r>
        <w:rPr>
          <w:rFonts w:hint="eastAsia" w:ascii="仿宋" w:hAnsi="仿宋" w:eastAsia="仿宋" w:cs="仿宋"/>
          <w:kern w:val="0"/>
          <w:sz w:val="21"/>
          <w:szCs w:val="21"/>
          <w:highlight w:val="none"/>
        </w:rPr>
        <w:t>被授权人签字：</w:t>
      </w:r>
      <w:r>
        <w:rPr>
          <w:rFonts w:hint="eastAsia" w:ascii="仿宋" w:hAnsi="仿宋" w:eastAsia="仿宋" w:cs="仿宋"/>
          <w:kern w:val="0"/>
          <w:sz w:val="21"/>
          <w:szCs w:val="21"/>
          <w:highlight w:val="none"/>
          <w:u w:val="single"/>
        </w:rPr>
        <w:t xml:space="preserve">                                 </w:t>
      </w:r>
      <w:r>
        <w:rPr>
          <w:rFonts w:hint="eastAsia" w:ascii="仿宋" w:hAnsi="仿宋" w:eastAsia="仿宋" w:cs="仿宋"/>
          <w:kern w:val="0"/>
          <w:sz w:val="21"/>
          <w:szCs w:val="21"/>
          <w:highlight w:val="none"/>
        </w:rPr>
        <w:t xml:space="preserve">    </w:t>
      </w:r>
    </w:p>
    <w:p>
      <w:pPr>
        <w:pStyle w:val="63"/>
        <w:wordWrap w:val="0"/>
        <w:topLinePunct/>
        <w:spacing w:line="360" w:lineRule="auto"/>
        <w:ind w:firstLine="420"/>
        <w:rPr>
          <w:rFonts w:ascii="仿宋" w:hAnsi="仿宋" w:eastAsia="仿宋" w:cs="仿宋"/>
          <w:kern w:val="0"/>
          <w:sz w:val="21"/>
          <w:szCs w:val="21"/>
          <w:highlight w:val="none"/>
          <w:u w:val="single"/>
        </w:rPr>
      </w:pPr>
      <w:r>
        <w:rPr>
          <w:rFonts w:hint="eastAsia" w:ascii="仿宋" w:hAnsi="仿宋" w:eastAsia="仿宋" w:cs="仿宋"/>
          <w:kern w:val="0"/>
          <w:sz w:val="21"/>
          <w:szCs w:val="21"/>
          <w:highlight w:val="none"/>
        </w:rPr>
        <w:t>联系电话（手机）：</w:t>
      </w:r>
      <w:r>
        <w:rPr>
          <w:rFonts w:hint="eastAsia" w:ascii="仿宋" w:hAnsi="仿宋" w:eastAsia="仿宋" w:cs="仿宋"/>
          <w:kern w:val="0"/>
          <w:sz w:val="21"/>
          <w:szCs w:val="21"/>
          <w:highlight w:val="none"/>
          <w:u w:val="single"/>
        </w:rPr>
        <w:t xml:space="preserve">                             </w:t>
      </w:r>
    </w:p>
    <w:p>
      <w:pPr>
        <w:pStyle w:val="63"/>
        <w:wordWrap w:val="0"/>
        <w:topLinePunct/>
        <w:spacing w:line="360" w:lineRule="auto"/>
        <w:ind w:firstLine="420"/>
        <w:rPr>
          <w:rFonts w:ascii="仿宋" w:hAnsi="仿宋" w:eastAsia="仿宋" w:cs="仿宋"/>
          <w:kern w:val="0"/>
          <w:sz w:val="21"/>
          <w:szCs w:val="21"/>
          <w:highlight w:val="none"/>
        </w:rPr>
      </w:pPr>
      <w:r>
        <w:rPr>
          <w:rFonts w:hint="eastAsia" w:ascii="仿宋" w:hAnsi="仿宋" w:eastAsia="仿宋" w:cs="仿宋"/>
          <w:kern w:val="0"/>
          <w:sz w:val="21"/>
          <w:szCs w:val="21"/>
          <w:highlight w:val="none"/>
        </w:rPr>
        <w:t>单位名称：</w:t>
      </w:r>
      <w:r>
        <w:rPr>
          <w:rFonts w:hint="eastAsia" w:ascii="仿宋" w:hAnsi="仿宋" w:eastAsia="仿宋" w:cs="仿宋"/>
          <w:kern w:val="0"/>
          <w:sz w:val="21"/>
          <w:szCs w:val="21"/>
          <w:highlight w:val="none"/>
          <w:u w:val="single"/>
        </w:rPr>
        <w:t xml:space="preserve">                             </w:t>
      </w:r>
    </w:p>
    <w:p>
      <w:pPr>
        <w:pStyle w:val="63"/>
        <w:wordWrap w:val="0"/>
        <w:topLinePunct/>
        <w:spacing w:line="360" w:lineRule="auto"/>
        <w:ind w:firstLine="420"/>
        <w:rPr>
          <w:rFonts w:ascii="仿宋" w:hAnsi="仿宋" w:eastAsia="仿宋" w:cs="仿宋"/>
          <w:kern w:val="0"/>
          <w:sz w:val="21"/>
          <w:szCs w:val="21"/>
          <w:highlight w:val="none"/>
        </w:rPr>
      </w:pPr>
      <w:r>
        <w:rPr>
          <w:rFonts w:hint="eastAsia" w:ascii="仿宋" w:hAnsi="仿宋" w:eastAsia="仿宋" w:cs="仿宋"/>
          <w:kern w:val="0"/>
          <w:sz w:val="21"/>
          <w:szCs w:val="21"/>
          <w:highlight w:val="none"/>
        </w:rPr>
        <w:t>授权单位盖章：</w:t>
      </w:r>
      <w:r>
        <w:rPr>
          <w:rFonts w:hint="eastAsia" w:ascii="仿宋" w:hAnsi="仿宋" w:eastAsia="仿宋" w:cs="仿宋"/>
          <w:kern w:val="0"/>
          <w:sz w:val="21"/>
          <w:szCs w:val="21"/>
          <w:highlight w:val="none"/>
          <w:u w:val="single"/>
        </w:rPr>
        <w:t xml:space="preserve">                             </w:t>
      </w:r>
    </w:p>
    <w:p>
      <w:pPr>
        <w:pStyle w:val="63"/>
        <w:wordWrap w:val="0"/>
        <w:topLinePunct/>
        <w:spacing w:line="360" w:lineRule="auto"/>
        <w:ind w:firstLine="420"/>
        <w:rPr>
          <w:rFonts w:ascii="仿宋" w:hAnsi="仿宋" w:eastAsia="仿宋" w:cs="仿宋"/>
          <w:kern w:val="0"/>
          <w:sz w:val="21"/>
          <w:szCs w:val="21"/>
          <w:highlight w:val="none"/>
          <w:u w:val="single"/>
        </w:rPr>
      </w:pPr>
      <w:r>
        <w:rPr>
          <w:rFonts w:hint="eastAsia" w:ascii="仿宋" w:hAnsi="仿宋" w:eastAsia="仿宋" w:cs="仿宋"/>
          <w:kern w:val="0"/>
          <w:sz w:val="21"/>
          <w:szCs w:val="21"/>
          <w:highlight w:val="none"/>
        </w:rPr>
        <w:t>地址：</w:t>
      </w:r>
      <w:r>
        <w:rPr>
          <w:rFonts w:hint="eastAsia" w:ascii="仿宋" w:hAnsi="仿宋" w:eastAsia="仿宋" w:cs="仿宋"/>
          <w:kern w:val="0"/>
          <w:sz w:val="21"/>
          <w:szCs w:val="21"/>
          <w:highlight w:val="none"/>
          <w:u w:val="single"/>
        </w:rPr>
        <w:t xml:space="preserve">                                         </w:t>
      </w:r>
    </w:p>
    <w:p>
      <w:pPr>
        <w:pStyle w:val="63"/>
        <w:wordWrap w:val="0"/>
        <w:topLinePunct/>
        <w:spacing w:line="360" w:lineRule="auto"/>
        <w:ind w:firstLine="420"/>
        <w:rPr>
          <w:rFonts w:ascii="仿宋" w:hAnsi="仿宋" w:eastAsia="仿宋" w:cs="仿宋"/>
          <w:kern w:val="0"/>
          <w:sz w:val="21"/>
          <w:szCs w:val="21"/>
          <w:highlight w:val="none"/>
        </w:rPr>
      </w:pPr>
      <w:r>
        <w:rPr>
          <w:rFonts w:hint="eastAsia" w:ascii="仿宋" w:hAnsi="仿宋" w:eastAsia="仿宋" w:cs="仿宋"/>
          <w:kern w:val="0"/>
          <w:sz w:val="21"/>
          <w:szCs w:val="21"/>
          <w:highlight w:val="none"/>
        </w:rPr>
        <w:t>日期：</w:t>
      </w:r>
      <w:r>
        <w:rPr>
          <w:rFonts w:hint="eastAsia" w:ascii="仿宋" w:hAnsi="仿宋" w:eastAsia="仿宋" w:cs="仿宋"/>
          <w:kern w:val="0"/>
          <w:sz w:val="21"/>
          <w:szCs w:val="21"/>
          <w:highlight w:val="none"/>
          <w:u w:val="single"/>
        </w:rPr>
        <w:t xml:space="preserve">                                         </w:t>
      </w:r>
      <w:r>
        <w:rPr>
          <w:rFonts w:hint="eastAsia" w:ascii="仿宋" w:hAnsi="仿宋" w:eastAsia="仿宋" w:cs="仿宋"/>
          <w:kern w:val="0"/>
          <w:sz w:val="21"/>
          <w:szCs w:val="21"/>
          <w:highlight w:val="none"/>
        </w:rPr>
        <w:t xml:space="preserve"> </w:t>
      </w:r>
    </w:p>
    <w:p>
      <w:pPr>
        <w:wordWrap w:val="0"/>
        <w:topLinePunct/>
        <w:spacing w:line="460" w:lineRule="exact"/>
        <w:rPr>
          <w:rFonts w:ascii="仿宋" w:hAnsi="仿宋" w:eastAsia="仿宋" w:cs="仿宋"/>
          <w:bCs/>
          <w:kern w:val="0"/>
          <w:szCs w:val="21"/>
          <w:highlight w:val="none"/>
        </w:rPr>
      </w:pPr>
    </w:p>
    <w:p>
      <w:pPr>
        <w:wordWrap w:val="0"/>
        <w:topLinePunct/>
        <w:spacing w:line="460" w:lineRule="exact"/>
        <w:rPr>
          <w:rFonts w:ascii="仿宋" w:hAnsi="仿宋" w:eastAsia="仿宋" w:cs="仿宋"/>
          <w:bCs/>
          <w:kern w:val="0"/>
          <w:sz w:val="24"/>
          <w:highlight w:val="none"/>
        </w:rPr>
      </w:pPr>
    </w:p>
    <w:p>
      <w:pPr>
        <w:wordWrap w:val="0"/>
        <w:topLinePunct/>
        <w:spacing w:line="460" w:lineRule="exact"/>
        <w:ind w:firstLine="420" w:firstLineChars="200"/>
        <w:rPr>
          <w:rFonts w:ascii="仿宋" w:hAnsi="仿宋" w:eastAsia="仿宋" w:cs="仿宋"/>
          <w:bCs/>
          <w:kern w:val="0"/>
          <w:szCs w:val="21"/>
          <w:highlight w:val="none"/>
        </w:rPr>
      </w:pPr>
      <w:r>
        <w:rPr>
          <w:rFonts w:hint="eastAsia" w:ascii="仿宋" w:hAnsi="仿宋" w:eastAsia="仿宋" w:cs="仿宋"/>
          <w:bCs/>
          <w:kern w:val="0"/>
          <w:szCs w:val="21"/>
          <w:highlight w:val="none"/>
        </w:rPr>
        <w:t>被授权人身份证复印件：</w:t>
      </w:r>
    </w:p>
    <w:p>
      <w:pPr>
        <w:wordWrap w:val="0"/>
        <w:topLinePunct/>
        <w:spacing w:line="460" w:lineRule="exact"/>
        <w:rPr>
          <w:rFonts w:ascii="仿宋" w:hAnsi="仿宋" w:eastAsia="仿宋" w:cs="仿宋"/>
          <w:bCs/>
          <w:kern w:val="0"/>
          <w:sz w:val="24"/>
          <w:highlight w:val="none"/>
        </w:rPr>
      </w:pPr>
    </w:p>
    <w:p>
      <w:pPr>
        <w:wordWrap w:val="0"/>
        <w:topLinePunct/>
        <w:spacing w:line="460" w:lineRule="exact"/>
        <w:rPr>
          <w:rFonts w:ascii="仿宋" w:hAnsi="仿宋" w:eastAsia="仿宋" w:cs="仿宋"/>
          <w:bCs/>
          <w:kern w:val="0"/>
          <w:sz w:val="24"/>
          <w:highlight w:val="none"/>
        </w:rPr>
      </w:pPr>
    </w:p>
    <w:p>
      <w:pPr>
        <w:wordWrap w:val="0"/>
        <w:topLinePunct/>
        <w:spacing w:line="460" w:lineRule="exact"/>
        <w:rPr>
          <w:rFonts w:ascii="仿宋" w:hAnsi="仿宋" w:eastAsia="仿宋" w:cs="仿宋"/>
          <w:bCs/>
          <w:kern w:val="0"/>
          <w:sz w:val="24"/>
          <w:highlight w:val="none"/>
        </w:rPr>
      </w:pPr>
    </w:p>
    <w:p>
      <w:pPr>
        <w:wordWrap w:val="0"/>
        <w:topLinePunct/>
        <w:spacing w:line="360" w:lineRule="auto"/>
        <w:rPr>
          <w:rFonts w:ascii="仿宋" w:hAnsi="仿宋" w:eastAsia="仿宋" w:cs="仿宋"/>
          <w:bCs/>
          <w:kern w:val="0"/>
          <w:szCs w:val="21"/>
          <w:highlight w:val="none"/>
        </w:rPr>
      </w:pPr>
    </w:p>
    <w:p>
      <w:pPr>
        <w:pStyle w:val="63"/>
        <w:wordWrap w:val="0"/>
        <w:topLinePunct/>
        <w:spacing w:line="360" w:lineRule="auto"/>
        <w:ind w:firstLine="643"/>
        <w:rPr>
          <w:rFonts w:ascii="仿宋" w:hAnsi="仿宋" w:eastAsia="仿宋" w:cs="仿宋"/>
          <w:kern w:val="0"/>
          <w:sz w:val="21"/>
          <w:szCs w:val="21"/>
          <w:highlight w:val="none"/>
        </w:rPr>
      </w:pPr>
      <w:r>
        <w:rPr>
          <w:rFonts w:hint="eastAsia" w:ascii="仿宋" w:hAnsi="仿宋" w:eastAsia="仿宋" w:cs="仿宋"/>
          <w:b/>
          <w:kern w:val="0"/>
          <w:sz w:val="32"/>
          <w:szCs w:val="32"/>
          <w:highlight w:val="none"/>
        </w:rPr>
        <w:br w:type="page"/>
      </w:r>
      <w:r>
        <w:rPr>
          <w:rFonts w:hint="eastAsia" w:ascii="仿宋" w:hAnsi="仿宋" w:eastAsia="仿宋" w:cs="仿宋"/>
          <w:b/>
          <w:kern w:val="0"/>
          <w:sz w:val="21"/>
          <w:szCs w:val="21"/>
          <w:highlight w:val="none"/>
        </w:rPr>
        <w:t>参加本次采购活动前 3 年内在经营活动中没有重大违法记录的书面声明</w:t>
      </w:r>
    </w:p>
    <w:p>
      <w:pPr>
        <w:wordWrap w:val="0"/>
        <w:topLinePunct/>
        <w:spacing w:line="360" w:lineRule="auto"/>
        <w:rPr>
          <w:rFonts w:ascii="仿宋" w:hAnsi="仿宋" w:eastAsia="仿宋" w:cs="仿宋"/>
          <w:b/>
          <w:bCs/>
          <w:kern w:val="0"/>
          <w:szCs w:val="21"/>
          <w:highlight w:val="none"/>
        </w:rPr>
      </w:pPr>
      <w:r>
        <w:rPr>
          <w:rFonts w:hint="eastAsia" w:ascii="仿宋" w:hAnsi="仿宋" w:eastAsia="仿宋" w:cs="仿宋"/>
          <w:b/>
          <w:bCs/>
          <w:kern w:val="0"/>
          <w:szCs w:val="21"/>
          <w:highlight w:val="none"/>
        </w:rPr>
        <w:t xml:space="preserve">                          </w:t>
      </w:r>
    </w:p>
    <w:p>
      <w:pPr>
        <w:wordWrap w:val="0"/>
        <w:topLinePunct/>
        <w:spacing w:line="360" w:lineRule="auto"/>
        <w:rPr>
          <w:rFonts w:ascii="仿宋" w:hAnsi="仿宋" w:eastAsia="仿宋" w:cs="仿宋"/>
          <w:b/>
          <w:bCs/>
          <w:kern w:val="0"/>
          <w:szCs w:val="21"/>
          <w:highlight w:val="none"/>
        </w:rPr>
      </w:pPr>
      <w:r>
        <w:rPr>
          <w:rFonts w:hint="eastAsia" w:ascii="仿宋" w:hAnsi="仿宋" w:eastAsia="仿宋" w:cs="仿宋"/>
          <w:b/>
          <w:bCs/>
          <w:kern w:val="0"/>
          <w:szCs w:val="21"/>
          <w:highlight w:val="none"/>
        </w:rPr>
        <w:t xml:space="preserve">                              声  明   </w:t>
      </w:r>
    </w:p>
    <w:p>
      <w:pPr>
        <w:wordWrap w:val="0"/>
        <w:topLinePunct/>
        <w:spacing w:line="360" w:lineRule="auto"/>
        <w:rPr>
          <w:rFonts w:ascii="仿宋" w:hAnsi="仿宋" w:eastAsia="仿宋" w:cs="仿宋"/>
          <w:bCs/>
          <w:kern w:val="0"/>
          <w:szCs w:val="21"/>
          <w:highlight w:val="none"/>
        </w:rPr>
      </w:pPr>
      <w:r>
        <w:rPr>
          <w:rFonts w:hint="eastAsia" w:ascii="仿宋" w:hAnsi="仿宋" w:eastAsia="仿宋" w:cs="仿宋"/>
          <w:b/>
          <w:bCs/>
          <w:kern w:val="0"/>
          <w:szCs w:val="21"/>
          <w:highlight w:val="none"/>
        </w:rPr>
        <w:t xml:space="preserve">    </w:t>
      </w:r>
      <w:r>
        <w:rPr>
          <w:rFonts w:hint="eastAsia" w:ascii="仿宋" w:hAnsi="仿宋" w:eastAsia="仿宋" w:cs="仿宋"/>
          <w:bCs/>
          <w:kern w:val="0"/>
          <w:szCs w:val="21"/>
          <w:highlight w:val="none"/>
        </w:rPr>
        <w:t>我公司郑重声明：参加本次采购活动前 3 年内，我公司在经营活动中没有因违法经营受到刑事处罚或者责令停产停业、吊销许可证或者执照、较大数额罚款等行政处罚。</w:t>
      </w:r>
    </w:p>
    <w:p>
      <w:pPr>
        <w:wordWrap w:val="0"/>
        <w:topLinePunct/>
        <w:spacing w:line="360" w:lineRule="auto"/>
        <w:rPr>
          <w:rFonts w:ascii="仿宋" w:hAnsi="仿宋" w:eastAsia="仿宋" w:cs="仿宋"/>
          <w:bCs/>
          <w:kern w:val="0"/>
          <w:szCs w:val="21"/>
          <w:highlight w:val="none"/>
        </w:rPr>
      </w:pPr>
      <w:r>
        <w:rPr>
          <w:rFonts w:hint="eastAsia" w:ascii="仿宋" w:hAnsi="仿宋" w:eastAsia="仿宋" w:cs="仿宋"/>
          <w:bCs/>
          <w:kern w:val="0"/>
          <w:szCs w:val="21"/>
          <w:highlight w:val="none"/>
        </w:rPr>
        <w:t xml:space="preserve">                                      </w:t>
      </w:r>
    </w:p>
    <w:p>
      <w:pPr>
        <w:wordWrap w:val="0"/>
        <w:topLinePunct/>
        <w:spacing w:line="360" w:lineRule="auto"/>
        <w:ind w:firstLine="4410" w:firstLineChars="2100"/>
        <w:rPr>
          <w:rFonts w:ascii="仿宋" w:hAnsi="仿宋" w:eastAsia="仿宋" w:cs="仿宋"/>
          <w:bCs/>
          <w:kern w:val="0"/>
          <w:szCs w:val="21"/>
          <w:highlight w:val="none"/>
        </w:rPr>
      </w:pPr>
      <w:r>
        <w:rPr>
          <w:rFonts w:hint="eastAsia" w:ascii="仿宋" w:hAnsi="仿宋" w:eastAsia="仿宋" w:cs="仿宋"/>
          <w:kern w:val="0"/>
          <w:szCs w:val="21"/>
          <w:highlight w:val="none"/>
        </w:rPr>
        <w:t>投标人</w:t>
      </w:r>
      <w:r>
        <w:rPr>
          <w:rFonts w:hint="eastAsia" w:ascii="仿宋" w:hAnsi="仿宋" w:eastAsia="仿宋" w:cs="仿宋"/>
          <w:bCs/>
          <w:kern w:val="0"/>
          <w:szCs w:val="21"/>
          <w:highlight w:val="none"/>
        </w:rPr>
        <w:t>名称（公章）：</w:t>
      </w:r>
    </w:p>
    <w:p>
      <w:pPr>
        <w:wordWrap w:val="0"/>
        <w:topLinePunct/>
        <w:spacing w:line="360" w:lineRule="auto"/>
        <w:rPr>
          <w:rFonts w:ascii="仿宋" w:hAnsi="仿宋" w:eastAsia="仿宋" w:cs="仿宋"/>
          <w:bCs/>
          <w:kern w:val="0"/>
          <w:szCs w:val="21"/>
          <w:highlight w:val="none"/>
        </w:rPr>
      </w:pPr>
      <w:r>
        <w:rPr>
          <w:rFonts w:hint="eastAsia" w:ascii="仿宋" w:hAnsi="仿宋" w:eastAsia="仿宋" w:cs="仿宋"/>
          <w:bCs/>
          <w:kern w:val="0"/>
          <w:szCs w:val="21"/>
          <w:highlight w:val="none"/>
        </w:rPr>
        <w:t xml:space="preserve">                                          法定代表人或授权代表（签字）：</w:t>
      </w:r>
    </w:p>
    <w:p>
      <w:pPr>
        <w:wordWrap w:val="0"/>
        <w:topLinePunct/>
        <w:spacing w:line="360" w:lineRule="auto"/>
        <w:rPr>
          <w:rFonts w:ascii="仿宋" w:hAnsi="仿宋" w:eastAsia="仿宋" w:cs="仿宋"/>
          <w:bCs/>
          <w:kern w:val="0"/>
          <w:szCs w:val="21"/>
          <w:highlight w:val="none"/>
        </w:rPr>
      </w:pPr>
      <w:r>
        <w:rPr>
          <w:rFonts w:hint="eastAsia" w:ascii="仿宋" w:hAnsi="仿宋" w:eastAsia="仿宋" w:cs="仿宋"/>
          <w:bCs/>
          <w:kern w:val="0"/>
          <w:szCs w:val="21"/>
          <w:highlight w:val="none"/>
        </w:rPr>
        <w:t xml:space="preserve">                                          日期：</w:t>
      </w:r>
      <w:r>
        <w:rPr>
          <w:rFonts w:hint="eastAsia" w:ascii="仿宋" w:hAnsi="仿宋" w:eastAsia="仿宋" w:cs="仿宋"/>
          <w:bCs/>
          <w:kern w:val="0"/>
          <w:szCs w:val="21"/>
          <w:highlight w:val="none"/>
          <w:u w:val="single"/>
        </w:rPr>
        <w:t xml:space="preserve">    </w:t>
      </w:r>
      <w:r>
        <w:rPr>
          <w:rFonts w:hint="eastAsia" w:ascii="仿宋" w:hAnsi="仿宋" w:eastAsia="仿宋" w:cs="仿宋"/>
          <w:bCs/>
          <w:kern w:val="0"/>
          <w:szCs w:val="21"/>
          <w:highlight w:val="none"/>
        </w:rPr>
        <w:t>年</w:t>
      </w:r>
      <w:r>
        <w:rPr>
          <w:rFonts w:hint="eastAsia" w:ascii="仿宋" w:hAnsi="仿宋" w:eastAsia="仿宋" w:cs="仿宋"/>
          <w:bCs/>
          <w:kern w:val="0"/>
          <w:szCs w:val="21"/>
          <w:highlight w:val="none"/>
          <w:u w:val="single"/>
        </w:rPr>
        <w:t xml:space="preserve">    </w:t>
      </w:r>
      <w:r>
        <w:rPr>
          <w:rFonts w:hint="eastAsia" w:ascii="仿宋" w:hAnsi="仿宋" w:eastAsia="仿宋" w:cs="仿宋"/>
          <w:bCs/>
          <w:kern w:val="0"/>
          <w:szCs w:val="21"/>
          <w:highlight w:val="none"/>
        </w:rPr>
        <w:t>月</w:t>
      </w:r>
      <w:r>
        <w:rPr>
          <w:rFonts w:hint="eastAsia" w:ascii="仿宋" w:hAnsi="仿宋" w:eastAsia="仿宋" w:cs="仿宋"/>
          <w:bCs/>
          <w:kern w:val="0"/>
          <w:szCs w:val="21"/>
          <w:highlight w:val="none"/>
          <w:u w:val="single"/>
        </w:rPr>
        <w:t xml:space="preserve">    </w:t>
      </w:r>
      <w:r>
        <w:rPr>
          <w:rFonts w:hint="eastAsia" w:ascii="仿宋" w:hAnsi="仿宋" w:eastAsia="仿宋" w:cs="仿宋"/>
          <w:bCs/>
          <w:kern w:val="0"/>
          <w:szCs w:val="21"/>
          <w:highlight w:val="none"/>
        </w:rPr>
        <w:t>日</w:t>
      </w:r>
    </w:p>
    <w:p>
      <w:pPr>
        <w:wordWrap w:val="0"/>
        <w:topLinePunct/>
        <w:rPr>
          <w:rFonts w:ascii="仿宋" w:hAnsi="仿宋" w:eastAsia="仿宋" w:cs="仿宋"/>
          <w:kern w:val="0"/>
          <w:szCs w:val="21"/>
          <w:highlight w:val="none"/>
        </w:rPr>
      </w:pPr>
      <w:r>
        <w:rPr>
          <w:rFonts w:hint="eastAsia" w:ascii="仿宋" w:hAnsi="仿宋" w:eastAsia="仿宋" w:cs="仿宋"/>
          <w:kern w:val="0"/>
          <w:szCs w:val="21"/>
          <w:highlight w:val="none"/>
        </w:rPr>
        <w:br w:type="page"/>
      </w:r>
    </w:p>
    <w:p>
      <w:pPr>
        <w:wordWrap w:val="0"/>
        <w:topLinePunct/>
        <w:spacing w:line="500" w:lineRule="exact"/>
        <w:jc w:val="center"/>
        <w:rPr>
          <w:rFonts w:ascii="仿宋" w:hAnsi="仿宋" w:eastAsia="仿宋" w:cs="仿宋"/>
          <w:b/>
          <w:kern w:val="0"/>
          <w:szCs w:val="21"/>
          <w:highlight w:val="none"/>
        </w:rPr>
      </w:pPr>
      <w:r>
        <w:rPr>
          <w:rFonts w:hint="eastAsia" w:ascii="仿宋" w:hAnsi="仿宋" w:eastAsia="仿宋" w:cs="仿宋"/>
          <w:b/>
          <w:kern w:val="0"/>
          <w:szCs w:val="21"/>
          <w:highlight w:val="none"/>
        </w:rPr>
        <w:t>供应商信用承诺书</w:t>
      </w:r>
    </w:p>
    <w:p>
      <w:pPr>
        <w:wordWrap w:val="0"/>
        <w:topLinePunct/>
        <w:snapToGrid w:val="0"/>
        <w:spacing w:line="360" w:lineRule="auto"/>
        <w:rPr>
          <w:rFonts w:ascii="仿宋" w:hAnsi="仿宋" w:eastAsia="仿宋" w:cs="仿宋"/>
          <w:kern w:val="0"/>
          <w:szCs w:val="21"/>
          <w:highlight w:val="none"/>
        </w:rPr>
      </w:pPr>
      <w:r>
        <w:rPr>
          <w:rFonts w:hint="eastAsia" w:ascii="仿宋" w:hAnsi="仿宋" w:eastAsia="仿宋" w:cs="仿宋"/>
          <w:kern w:val="0"/>
          <w:szCs w:val="21"/>
          <w:highlight w:val="none"/>
        </w:rPr>
        <w:t>承诺主体名称：</w:t>
      </w:r>
    </w:p>
    <w:p>
      <w:pPr>
        <w:wordWrap w:val="0"/>
        <w:topLinePunct/>
        <w:snapToGrid w:val="0"/>
        <w:spacing w:line="360" w:lineRule="auto"/>
        <w:rPr>
          <w:rFonts w:ascii="仿宋" w:hAnsi="仿宋" w:eastAsia="仿宋" w:cs="仿宋"/>
          <w:kern w:val="0"/>
          <w:szCs w:val="21"/>
          <w:highlight w:val="none"/>
        </w:rPr>
      </w:pPr>
      <w:r>
        <w:rPr>
          <w:rFonts w:hint="eastAsia" w:ascii="仿宋" w:hAnsi="仿宋" w:eastAsia="仿宋" w:cs="仿宋"/>
          <w:kern w:val="0"/>
          <w:szCs w:val="21"/>
          <w:highlight w:val="none"/>
        </w:rPr>
        <w:t>统一社会信用代码：</w:t>
      </w:r>
    </w:p>
    <w:p>
      <w:pPr>
        <w:wordWrap w:val="0"/>
        <w:topLinePunct/>
        <w:spacing w:line="40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为维护公平竞争、规范有序的市场秩序，营造诚实守信的信用环境，共同推进社会信用体系建设完善，树立企业诚信守法形象，本企业对</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项目政府采购活动郑重承诺如下:</w:t>
      </w:r>
    </w:p>
    <w:p>
      <w:pPr>
        <w:wordWrap w:val="0"/>
        <w:topLinePunct/>
        <w:spacing w:line="40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一、对提供给注册登记部门、行业管理部门、司法部门、行业组织以及在政府采购活动中提交的所有资料的合法性、真实性、准确性和有效性负责；</w:t>
      </w:r>
    </w:p>
    <w:p>
      <w:pPr>
        <w:wordWrap w:val="0"/>
        <w:topLinePunct/>
        <w:spacing w:line="40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二、严格按照国家法律、法规和规章开展采购活动，全面履行应尽的责任和义务，全面做到履约守信，具备《中华人民共和国政府采购法》第二十二条第一款规定的条件;</w:t>
      </w:r>
    </w:p>
    <w:p>
      <w:pPr>
        <w:wordWrap w:val="0"/>
        <w:topLinePunct/>
        <w:spacing w:line="40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三、严格依法开展生产经营活动，主动接受行业监管，自愿接受依法开展的日常检查；违法失信经营后将自愿接受约束和惩戒，并依法承担相应责任；</w:t>
      </w:r>
    </w:p>
    <w:p>
      <w:pPr>
        <w:wordWrap w:val="0"/>
        <w:topLinePunct/>
        <w:spacing w:line="40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四、自觉接受行政管理部门、行业组织、社会公众、新闻舆论的监督；</w:t>
      </w:r>
    </w:p>
    <w:p>
      <w:pPr>
        <w:wordWrap w:val="0"/>
        <w:topLinePunct/>
        <w:spacing w:line="40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五、自觉做到自我约束、自我管理，不制假售假、商标侵权、虚假宣传、违约毁约、恶意逃债、偷税漏税、垄断和不正当竞争，维护经营者、消费者的合法权益；</w:t>
      </w:r>
    </w:p>
    <w:p>
      <w:pPr>
        <w:wordWrap w:val="0"/>
        <w:topLinePunct/>
        <w:spacing w:line="40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六、提出政府采购质疑和投诉坚持依法依规、诚实信用原则，在全国范围12个月内没有三次以上查无实据的政府采购投诉；</w:t>
      </w:r>
    </w:p>
    <w:p>
      <w:pPr>
        <w:wordWrap w:val="0"/>
        <w:topLinePunct/>
        <w:spacing w:line="40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七、严格遵守信用信息公示相关规定，向社会公示信用信息；</w:t>
      </w:r>
    </w:p>
    <w:p>
      <w:pPr>
        <w:wordWrap w:val="0"/>
        <w:topLinePunct/>
        <w:spacing w:line="40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八、在“信用中国”和“中国政府采购网”网站中无违法违规、较重或严重失信记录；</w:t>
      </w:r>
    </w:p>
    <w:p>
      <w:pPr>
        <w:wordWrap w:val="0"/>
        <w:topLinePunct/>
        <w:spacing w:line="40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九、如违反承诺，自愿接受管理部门依法给予的行政处罚，同意将违反承诺的行为作为不良记录记入信用档案，依法依规进行信息公示，并承担所产生的一切法律责任和经济损失。</w:t>
      </w:r>
    </w:p>
    <w:p>
      <w:pPr>
        <w:wordWrap w:val="0"/>
        <w:topLinePunct/>
        <w:spacing w:line="40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十、本承诺书自签订之日起生效。</w:t>
      </w:r>
    </w:p>
    <w:p>
      <w:pPr>
        <w:wordWrap w:val="0"/>
        <w:topLinePunct/>
        <w:spacing w:line="40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（注：法定代表人或负责人、主体名称发生变更的应当重新做出承诺。）</w:t>
      </w:r>
    </w:p>
    <w:p>
      <w:pPr>
        <w:wordWrap w:val="0"/>
        <w:topLinePunct/>
        <w:spacing w:line="56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 xml:space="preserve">                                 承诺单位（签章）： </w:t>
      </w:r>
    </w:p>
    <w:p>
      <w:pPr>
        <w:wordWrap w:val="0"/>
        <w:topLinePunct/>
        <w:spacing w:line="56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 xml:space="preserve">                  法定代表人（负责人）：</w:t>
      </w:r>
    </w:p>
    <w:p>
      <w:pPr>
        <w:wordWrap w:val="0"/>
        <w:topLinePunct/>
        <w:spacing w:line="560" w:lineRule="exact"/>
        <w:jc w:val="center"/>
        <w:rPr>
          <w:rFonts w:ascii="仿宋" w:hAnsi="仿宋" w:eastAsia="仿宋" w:cs="仿宋"/>
          <w:kern w:val="0"/>
          <w:szCs w:val="21"/>
          <w:highlight w:val="none"/>
        </w:rPr>
      </w:pPr>
      <w:r>
        <w:rPr>
          <w:rFonts w:hint="eastAsia" w:ascii="仿宋" w:hAnsi="仿宋" w:eastAsia="仿宋" w:cs="仿宋"/>
          <w:kern w:val="0"/>
          <w:szCs w:val="21"/>
          <w:highlight w:val="none"/>
        </w:rPr>
        <w:t xml:space="preserve">                年   月   日</w:t>
      </w:r>
    </w:p>
    <w:p>
      <w:pPr>
        <w:wordWrap w:val="0"/>
        <w:topLinePunct/>
        <w:spacing w:line="500" w:lineRule="exact"/>
        <w:jc w:val="center"/>
        <w:rPr>
          <w:rFonts w:ascii="仿宋" w:hAnsi="仿宋" w:eastAsia="仿宋" w:cs="仿宋"/>
          <w:kern w:val="0"/>
          <w:szCs w:val="21"/>
          <w:highlight w:val="none"/>
        </w:rPr>
      </w:pPr>
    </w:p>
    <w:p>
      <w:pPr>
        <w:wordWrap w:val="0"/>
        <w:topLinePunct/>
        <w:spacing w:line="560" w:lineRule="exact"/>
        <w:rPr>
          <w:rFonts w:ascii="仿宋" w:hAnsi="仿宋" w:eastAsia="仿宋" w:cs="仿宋"/>
          <w:kern w:val="0"/>
          <w:szCs w:val="21"/>
          <w:highlight w:val="none"/>
        </w:rPr>
      </w:pPr>
    </w:p>
    <w:p>
      <w:pPr>
        <w:wordWrap w:val="0"/>
        <w:topLinePunct/>
        <w:rPr>
          <w:rFonts w:ascii="仿宋" w:hAnsi="仿宋" w:eastAsia="仿宋" w:cs="仿宋"/>
          <w:b/>
          <w:bCs/>
          <w:kern w:val="0"/>
          <w:highlight w:val="none"/>
        </w:rPr>
      </w:pPr>
      <w:r>
        <w:rPr>
          <w:rFonts w:hint="eastAsia" w:ascii="仿宋" w:hAnsi="仿宋" w:eastAsia="仿宋" w:cs="仿宋"/>
          <w:b/>
          <w:bCs/>
          <w:kern w:val="0"/>
          <w:highlight w:val="none"/>
        </w:rPr>
        <w:br w:type="page"/>
      </w:r>
    </w:p>
    <w:p>
      <w:pPr>
        <w:wordWrap w:val="0"/>
        <w:topLinePunct/>
        <w:spacing w:line="360" w:lineRule="auto"/>
        <w:jc w:val="center"/>
        <w:rPr>
          <w:rFonts w:ascii="仿宋" w:hAnsi="仿宋" w:eastAsia="仿宋" w:cs="仿宋"/>
          <w:b/>
          <w:bCs/>
          <w:kern w:val="0"/>
          <w:highlight w:val="none"/>
        </w:rPr>
      </w:pPr>
      <w:r>
        <w:rPr>
          <w:rFonts w:hint="eastAsia" w:ascii="仿宋" w:hAnsi="仿宋" w:eastAsia="仿宋" w:cs="仿宋"/>
          <w:b/>
          <w:bCs/>
          <w:kern w:val="0"/>
          <w:highlight w:val="none"/>
        </w:rPr>
        <w:t>中小企业声明函（工程、服务）</w:t>
      </w:r>
    </w:p>
    <w:p>
      <w:pPr>
        <w:pBdr>
          <w:top w:val="none" w:color="auto" w:sz="0" w:space="1"/>
          <w:left w:val="none" w:color="auto" w:sz="0" w:space="4"/>
          <w:bottom w:val="none" w:color="auto" w:sz="0" w:space="1"/>
          <w:right w:val="none" w:color="auto" w:sz="0" w:space="4"/>
        </w:pBdr>
        <w:wordWrap w:val="0"/>
        <w:topLinePunct/>
        <w:spacing w:line="440" w:lineRule="exact"/>
        <w:ind w:firstLine="420" w:firstLineChars="200"/>
        <w:jc w:val="left"/>
        <w:rPr>
          <w:rFonts w:ascii="仿宋" w:hAnsi="仿宋" w:eastAsia="仿宋" w:cs="仿宋"/>
          <w:kern w:val="0"/>
          <w:highlight w:val="none"/>
        </w:rPr>
      </w:pPr>
      <w:r>
        <w:rPr>
          <w:rFonts w:hint="eastAsia" w:ascii="仿宋" w:hAnsi="仿宋" w:eastAsia="仿宋" w:cs="仿宋"/>
          <w:kern w:val="0"/>
          <w:highlight w:val="none"/>
        </w:rPr>
        <w:t>本公司（联合体）郑重声明，依据《政府采购促进中小企业发展管理办法》（财库﹝2020﹞46 号）的规定，本公司（联合体）参加</w:t>
      </w:r>
      <w:r>
        <w:rPr>
          <w:rFonts w:hint="eastAsia" w:ascii="仿宋" w:hAnsi="仿宋" w:eastAsia="仿宋" w:cs="仿宋"/>
          <w:kern w:val="0"/>
          <w:highlight w:val="none"/>
          <w:u w:val="single"/>
        </w:rPr>
        <w:t xml:space="preserve">       （单位名称）</w:t>
      </w:r>
      <w:r>
        <w:rPr>
          <w:rFonts w:hint="eastAsia" w:ascii="仿宋" w:hAnsi="仿宋" w:eastAsia="仿宋" w:cs="仿宋"/>
          <w:kern w:val="0"/>
          <w:highlight w:val="none"/>
        </w:rPr>
        <w:t>的</w:t>
      </w:r>
      <w:r>
        <w:rPr>
          <w:rFonts w:hint="eastAsia" w:ascii="仿宋" w:hAnsi="仿宋" w:eastAsia="仿宋" w:cs="仿宋"/>
          <w:kern w:val="0"/>
          <w:highlight w:val="none"/>
          <w:u w:val="single"/>
        </w:rPr>
        <w:t xml:space="preserve">          （项目名称）</w:t>
      </w:r>
      <w:r>
        <w:rPr>
          <w:rFonts w:hint="eastAsia" w:ascii="仿宋" w:hAnsi="仿宋" w:eastAsia="仿宋" w:cs="仿宋"/>
          <w:kern w:val="0"/>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Bdr>
          <w:top w:val="none" w:color="auto" w:sz="0" w:space="1"/>
          <w:left w:val="none" w:color="auto" w:sz="0" w:space="4"/>
          <w:bottom w:val="none" w:color="auto" w:sz="0" w:space="1"/>
          <w:right w:val="none" w:color="auto" w:sz="0" w:space="4"/>
        </w:pBdr>
        <w:wordWrap w:val="0"/>
        <w:topLinePunct/>
        <w:spacing w:line="440" w:lineRule="exact"/>
        <w:ind w:firstLine="420" w:firstLineChars="200"/>
        <w:jc w:val="left"/>
        <w:rPr>
          <w:rFonts w:ascii="仿宋" w:hAnsi="仿宋" w:eastAsia="仿宋" w:cs="仿宋"/>
          <w:kern w:val="0"/>
          <w:highlight w:val="none"/>
          <w:u w:val="single"/>
        </w:rPr>
      </w:pPr>
      <w:r>
        <w:rPr>
          <w:rFonts w:hint="eastAsia" w:ascii="仿宋" w:hAnsi="仿宋" w:eastAsia="仿宋" w:cs="仿宋"/>
          <w:kern w:val="0"/>
          <w:highlight w:val="none"/>
        </w:rPr>
        <w:t xml:space="preserve">1. </w:t>
      </w:r>
      <w:r>
        <w:rPr>
          <w:rFonts w:hint="eastAsia" w:ascii="仿宋" w:hAnsi="仿宋" w:eastAsia="仿宋" w:cs="仿宋"/>
          <w:kern w:val="0"/>
          <w:highlight w:val="none"/>
          <w:u w:val="single"/>
        </w:rPr>
        <w:t xml:space="preserve">（标的名称） </w:t>
      </w:r>
      <w:r>
        <w:rPr>
          <w:rFonts w:hint="eastAsia" w:ascii="仿宋" w:hAnsi="仿宋" w:eastAsia="仿宋" w:cs="仿宋"/>
          <w:kern w:val="0"/>
          <w:highlight w:val="none"/>
        </w:rPr>
        <w:t>，属于</w:t>
      </w:r>
      <w:r>
        <w:rPr>
          <w:rFonts w:hint="eastAsia" w:ascii="仿宋" w:hAnsi="仿宋" w:eastAsia="仿宋" w:cs="仿宋"/>
          <w:kern w:val="0"/>
          <w:highlight w:val="none"/>
          <w:u w:val="single"/>
        </w:rPr>
        <w:t>其他未列明行业</w:t>
      </w:r>
      <w:r>
        <w:rPr>
          <w:rFonts w:hint="eastAsia" w:ascii="仿宋" w:hAnsi="仿宋" w:eastAsia="仿宋" w:cs="仿宋"/>
          <w:kern w:val="0"/>
          <w:highlight w:val="none"/>
        </w:rPr>
        <w:t>；承建（承接）企业为</w:t>
      </w:r>
      <w:r>
        <w:rPr>
          <w:rFonts w:hint="eastAsia" w:ascii="仿宋" w:hAnsi="仿宋" w:eastAsia="仿宋" w:cs="仿宋"/>
          <w:kern w:val="0"/>
          <w:highlight w:val="none"/>
          <w:u w:val="single"/>
        </w:rPr>
        <w:t>（企业名称）</w:t>
      </w:r>
      <w:r>
        <w:rPr>
          <w:rFonts w:hint="eastAsia" w:ascii="仿宋" w:hAnsi="仿宋" w:eastAsia="仿宋" w:cs="仿宋"/>
          <w:kern w:val="0"/>
          <w:highlight w:val="none"/>
        </w:rPr>
        <w:t>，从业人员</w:t>
      </w:r>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人，营业收入为</w:t>
      </w:r>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万元，资产总额为</w:t>
      </w:r>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万元</w:t>
      </w:r>
      <w:r>
        <w:rPr>
          <w:highlight w:val="none"/>
        </w:rPr>
        <w:fldChar w:fldCharType="begin"/>
      </w:r>
      <w:r>
        <w:rPr>
          <w:highlight w:val="none"/>
        </w:rPr>
        <w:instrText xml:space="preserve"> HYPERLINK \l "br1" </w:instrText>
      </w:r>
      <w:r>
        <w:rPr>
          <w:highlight w:val="none"/>
        </w:rPr>
        <w:fldChar w:fldCharType="separate"/>
      </w:r>
      <w:r>
        <w:rPr>
          <w:rFonts w:hint="eastAsia" w:ascii="仿宋" w:hAnsi="仿宋" w:eastAsia="仿宋" w:cs="仿宋"/>
          <w:kern w:val="0"/>
          <w:highlight w:val="none"/>
          <w:vertAlign w:val="superscript"/>
        </w:rPr>
        <w:t>1</w:t>
      </w:r>
      <w:r>
        <w:rPr>
          <w:rFonts w:hint="eastAsia" w:ascii="仿宋" w:hAnsi="仿宋" w:eastAsia="仿宋" w:cs="仿宋"/>
          <w:kern w:val="0"/>
          <w:highlight w:val="none"/>
          <w:vertAlign w:val="superscript"/>
        </w:rPr>
        <w:fldChar w:fldCharType="end"/>
      </w:r>
      <w:r>
        <w:rPr>
          <w:rFonts w:hint="eastAsia" w:ascii="仿宋" w:hAnsi="仿宋" w:eastAsia="仿宋" w:cs="仿宋"/>
          <w:kern w:val="0"/>
          <w:highlight w:val="none"/>
        </w:rPr>
        <w:t>，属于</w:t>
      </w:r>
      <w:r>
        <w:rPr>
          <w:rFonts w:hint="eastAsia" w:ascii="仿宋" w:hAnsi="仿宋" w:eastAsia="仿宋" w:cs="仿宋"/>
          <w:kern w:val="0"/>
          <w:highlight w:val="none"/>
          <w:u w:val="single"/>
        </w:rPr>
        <w:t>（大型企业、中型企业、小型企业、微型企业）；</w:t>
      </w:r>
    </w:p>
    <w:p>
      <w:pPr>
        <w:pBdr>
          <w:top w:val="none" w:color="auto" w:sz="0" w:space="1"/>
          <w:left w:val="none" w:color="auto" w:sz="0" w:space="4"/>
          <w:bottom w:val="none" w:color="auto" w:sz="0" w:space="1"/>
          <w:right w:val="none" w:color="auto" w:sz="0" w:space="4"/>
        </w:pBdr>
        <w:wordWrap w:val="0"/>
        <w:topLinePunct/>
        <w:spacing w:line="440" w:lineRule="exact"/>
        <w:ind w:firstLine="420" w:firstLineChars="200"/>
        <w:jc w:val="left"/>
        <w:rPr>
          <w:rFonts w:ascii="仿宋" w:hAnsi="仿宋" w:eastAsia="仿宋" w:cs="仿宋"/>
          <w:kern w:val="0"/>
          <w:highlight w:val="none"/>
          <w:u w:val="single"/>
        </w:rPr>
      </w:pPr>
      <w:r>
        <w:rPr>
          <w:rFonts w:hint="eastAsia" w:ascii="仿宋" w:hAnsi="仿宋" w:eastAsia="仿宋" w:cs="仿宋"/>
          <w:kern w:val="0"/>
          <w:highlight w:val="none"/>
        </w:rPr>
        <w:t xml:space="preserve">2. </w:t>
      </w:r>
      <w:r>
        <w:rPr>
          <w:rFonts w:hint="eastAsia" w:ascii="仿宋" w:hAnsi="仿宋" w:eastAsia="仿宋" w:cs="仿宋"/>
          <w:kern w:val="0"/>
          <w:highlight w:val="none"/>
          <w:u w:val="single"/>
        </w:rPr>
        <w:t>（标的名称）</w:t>
      </w:r>
      <w:r>
        <w:rPr>
          <w:rFonts w:hint="eastAsia" w:ascii="仿宋" w:hAnsi="仿宋" w:eastAsia="仿宋" w:cs="仿宋"/>
          <w:kern w:val="0"/>
          <w:highlight w:val="none"/>
        </w:rPr>
        <w:t xml:space="preserve"> ，属于</w:t>
      </w:r>
      <w:r>
        <w:rPr>
          <w:rFonts w:hint="eastAsia" w:ascii="仿宋" w:hAnsi="仿宋" w:eastAsia="仿宋" w:cs="仿宋"/>
          <w:kern w:val="0"/>
          <w:highlight w:val="none"/>
          <w:u w:val="single"/>
        </w:rPr>
        <w:t>其他未列明行业</w:t>
      </w:r>
      <w:r>
        <w:rPr>
          <w:rFonts w:hint="eastAsia" w:ascii="仿宋" w:hAnsi="仿宋" w:eastAsia="仿宋" w:cs="仿宋"/>
          <w:kern w:val="0"/>
          <w:highlight w:val="none"/>
        </w:rPr>
        <w:t>；承建（承接）企业为</w:t>
      </w:r>
      <w:r>
        <w:rPr>
          <w:rFonts w:hint="eastAsia" w:ascii="仿宋" w:hAnsi="仿宋" w:eastAsia="仿宋" w:cs="仿宋"/>
          <w:kern w:val="0"/>
          <w:highlight w:val="none"/>
          <w:u w:val="single"/>
        </w:rPr>
        <w:t>（企业名称）</w:t>
      </w:r>
      <w:r>
        <w:rPr>
          <w:rFonts w:hint="eastAsia" w:ascii="仿宋" w:hAnsi="仿宋" w:eastAsia="仿宋" w:cs="仿宋"/>
          <w:kern w:val="0"/>
          <w:highlight w:val="none"/>
        </w:rPr>
        <w:t>，从业人员</w:t>
      </w:r>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人，营业收入为</w:t>
      </w:r>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万元，资产总额为</w:t>
      </w:r>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万元，属于（</w:t>
      </w:r>
      <w:r>
        <w:rPr>
          <w:rFonts w:hint="eastAsia" w:ascii="仿宋" w:hAnsi="仿宋" w:eastAsia="仿宋" w:cs="仿宋"/>
          <w:kern w:val="0"/>
          <w:highlight w:val="none"/>
          <w:u w:val="single"/>
        </w:rPr>
        <w:t>大型企业、中型企业、小型企业、微型企业）；</w:t>
      </w:r>
    </w:p>
    <w:p>
      <w:pPr>
        <w:pBdr>
          <w:top w:val="none" w:color="auto" w:sz="0" w:space="1"/>
          <w:left w:val="none" w:color="auto" w:sz="0" w:space="4"/>
          <w:bottom w:val="none" w:color="auto" w:sz="0" w:space="1"/>
          <w:right w:val="none" w:color="auto" w:sz="0" w:space="4"/>
        </w:pBdr>
        <w:wordWrap w:val="0"/>
        <w:topLinePunct/>
        <w:spacing w:line="440" w:lineRule="exact"/>
        <w:ind w:firstLine="420" w:firstLineChars="200"/>
        <w:jc w:val="left"/>
        <w:rPr>
          <w:rFonts w:ascii="仿宋" w:hAnsi="仿宋" w:eastAsia="仿宋" w:cs="仿宋"/>
          <w:kern w:val="0"/>
          <w:highlight w:val="none"/>
        </w:rPr>
      </w:pPr>
      <w:r>
        <w:rPr>
          <w:rFonts w:hint="eastAsia" w:ascii="仿宋" w:hAnsi="仿宋" w:eastAsia="仿宋" w:cs="仿宋"/>
          <w:kern w:val="0"/>
          <w:highlight w:val="none"/>
        </w:rPr>
        <w:t>……</w:t>
      </w:r>
    </w:p>
    <w:p>
      <w:pPr>
        <w:pBdr>
          <w:top w:val="none" w:color="auto" w:sz="0" w:space="1"/>
          <w:left w:val="none" w:color="auto" w:sz="0" w:space="4"/>
          <w:bottom w:val="none" w:color="auto" w:sz="0" w:space="1"/>
          <w:right w:val="none" w:color="auto" w:sz="0" w:space="4"/>
        </w:pBdr>
        <w:wordWrap w:val="0"/>
        <w:topLinePunct/>
        <w:spacing w:line="440" w:lineRule="exact"/>
        <w:ind w:firstLine="420" w:firstLineChars="200"/>
        <w:jc w:val="left"/>
        <w:rPr>
          <w:rFonts w:ascii="仿宋" w:hAnsi="仿宋" w:eastAsia="仿宋" w:cs="仿宋"/>
          <w:kern w:val="0"/>
          <w:highlight w:val="none"/>
        </w:rPr>
      </w:pPr>
      <w:r>
        <w:rPr>
          <w:rFonts w:hint="eastAsia" w:ascii="仿宋" w:hAnsi="仿宋" w:eastAsia="仿宋" w:cs="仿宋"/>
          <w:kern w:val="0"/>
          <w:highlight w:val="none"/>
        </w:rPr>
        <w:t>以上企业，不属于大企业的分支机构，不存在控股股东为大企业的情形，也不存在与大企业的负责人为同一人的情形。</w:t>
      </w:r>
    </w:p>
    <w:p>
      <w:pPr>
        <w:pBdr>
          <w:top w:val="none" w:color="auto" w:sz="0" w:space="1"/>
          <w:left w:val="none" w:color="auto" w:sz="0" w:space="4"/>
          <w:bottom w:val="none" w:color="auto" w:sz="0" w:space="1"/>
          <w:right w:val="none" w:color="auto" w:sz="0" w:space="4"/>
        </w:pBdr>
        <w:wordWrap w:val="0"/>
        <w:topLinePunct/>
        <w:spacing w:line="440" w:lineRule="exact"/>
        <w:ind w:firstLine="420" w:firstLineChars="200"/>
        <w:jc w:val="left"/>
        <w:rPr>
          <w:rFonts w:ascii="仿宋" w:hAnsi="仿宋" w:eastAsia="仿宋" w:cs="仿宋"/>
          <w:b/>
          <w:bCs/>
          <w:kern w:val="0"/>
          <w:highlight w:val="none"/>
        </w:rPr>
      </w:pPr>
      <w:r>
        <w:rPr>
          <w:rFonts w:hint="eastAsia" w:ascii="仿宋" w:hAnsi="仿宋" w:eastAsia="仿宋" w:cs="仿宋"/>
          <w:kern w:val="0"/>
          <w:highlight w:val="none"/>
        </w:rPr>
        <w:t>本企业对上述声明内容的真实性负责。如有虚假，将依法承担相应责任。</w:t>
      </w:r>
    </w:p>
    <w:p>
      <w:pPr>
        <w:pBdr>
          <w:top w:val="none" w:color="auto" w:sz="0" w:space="1"/>
          <w:left w:val="none" w:color="auto" w:sz="0" w:space="4"/>
          <w:bottom w:val="none" w:color="auto" w:sz="0" w:space="1"/>
          <w:right w:val="none" w:color="auto" w:sz="0" w:space="4"/>
        </w:pBdr>
        <w:wordWrap w:val="0"/>
        <w:topLinePunct/>
        <w:spacing w:line="440" w:lineRule="exact"/>
        <w:rPr>
          <w:rFonts w:ascii="仿宋" w:hAnsi="仿宋" w:eastAsia="仿宋" w:cs="仿宋"/>
          <w:kern w:val="0"/>
          <w:highlight w:val="none"/>
        </w:rPr>
      </w:pPr>
      <w:r>
        <w:rPr>
          <w:rFonts w:hint="eastAsia" w:ascii="仿宋" w:hAnsi="仿宋" w:eastAsia="仿宋" w:cs="仿宋"/>
          <w:b/>
          <w:bCs/>
          <w:kern w:val="0"/>
          <w:highlight w:val="none"/>
        </w:rPr>
        <w:t>注</w:t>
      </w:r>
      <w:r>
        <w:rPr>
          <w:rFonts w:hint="eastAsia" w:ascii="仿宋" w:hAnsi="仿宋" w:eastAsia="仿宋" w:cs="仿宋"/>
          <w:kern w:val="0"/>
          <w:highlight w:val="none"/>
        </w:rPr>
        <w:t>：1、从业人员（不仅指在职职工）、营业收入、资产总额填报上一年度数据，无上一年度数据的新成立企业可不填报。</w:t>
      </w:r>
    </w:p>
    <w:p>
      <w:pPr>
        <w:pBdr>
          <w:top w:val="none" w:color="auto" w:sz="0" w:space="1"/>
          <w:left w:val="none" w:color="auto" w:sz="0" w:space="4"/>
          <w:bottom w:val="none" w:color="auto" w:sz="0" w:space="1"/>
          <w:right w:val="none" w:color="auto" w:sz="0" w:space="4"/>
        </w:pBdr>
        <w:wordWrap w:val="0"/>
        <w:topLinePunct/>
        <w:spacing w:line="440" w:lineRule="exact"/>
        <w:ind w:firstLine="420" w:firstLineChars="200"/>
        <w:rPr>
          <w:rFonts w:ascii="仿宋" w:hAnsi="仿宋" w:eastAsia="仿宋" w:cs="仿宋"/>
          <w:kern w:val="0"/>
          <w:highlight w:val="none"/>
        </w:rPr>
      </w:pPr>
      <w:r>
        <w:rPr>
          <w:rFonts w:hint="eastAsia" w:ascii="仿宋" w:hAnsi="仿宋" w:eastAsia="仿宋" w:cs="仿宋"/>
          <w:kern w:val="0"/>
          <w:highlight w:val="none"/>
        </w:rPr>
        <w:t>2、供应商如不提供此声明函，价格将不做相应扣除。</w:t>
      </w:r>
    </w:p>
    <w:p>
      <w:pPr>
        <w:pBdr>
          <w:top w:val="none" w:color="auto" w:sz="0" w:space="1"/>
          <w:left w:val="none" w:color="auto" w:sz="0" w:space="4"/>
          <w:bottom w:val="none" w:color="auto" w:sz="0" w:space="1"/>
          <w:right w:val="none" w:color="auto" w:sz="0" w:space="4"/>
        </w:pBdr>
        <w:wordWrap w:val="0"/>
        <w:topLinePunct/>
        <w:spacing w:line="440" w:lineRule="exact"/>
        <w:ind w:firstLine="420" w:firstLineChars="200"/>
        <w:rPr>
          <w:rFonts w:ascii="仿宋" w:hAnsi="仿宋" w:eastAsia="仿宋" w:cs="仿宋"/>
          <w:kern w:val="0"/>
          <w:highlight w:val="none"/>
        </w:rPr>
      </w:pPr>
      <w:r>
        <w:rPr>
          <w:rFonts w:hint="eastAsia" w:ascii="仿宋" w:hAnsi="仿宋" w:eastAsia="仿宋" w:cs="仿宋"/>
          <w:kern w:val="0"/>
          <w:highlight w:val="none"/>
        </w:rPr>
        <w:t>3、企业声明函请完整填写，中标后将公示。</w:t>
      </w:r>
    </w:p>
    <w:p>
      <w:pPr>
        <w:pBdr>
          <w:top w:val="none" w:color="auto" w:sz="0" w:space="1"/>
          <w:left w:val="none" w:color="auto" w:sz="0" w:space="4"/>
          <w:bottom w:val="none" w:color="auto" w:sz="0" w:space="1"/>
          <w:right w:val="none" w:color="auto" w:sz="0" w:space="4"/>
        </w:pBdr>
        <w:wordWrap w:val="0"/>
        <w:topLinePunct/>
        <w:spacing w:line="440" w:lineRule="exact"/>
        <w:ind w:firstLine="420" w:firstLineChars="200"/>
        <w:jc w:val="left"/>
        <w:rPr>
          <w:rFonts w:ascii="仿宋" w:hAnsi="仿宋" w:eastAsia="仿宋" w:cs="仿宋"/>
          <w:kern w:val="0"/>
          <w:highlight w:val="none"/>
        </w:rPr>
      </w:pPr>
      <w:r>
        <w:rPr>
          <w:rFonts w:hint="eastAsia" w:ascii="仿宋" w:hAnsi="仿宋" w:eastAsia="仿宋" w:cs="仿宋"/>
          <w:kern w:val="0"/>
          <w:highlight w:val="none"/>
        </w:rPr>
        <w:t>4、供应商应当对其出具的《中小企业声明函》真实性负责，供应商出具的《中小企业声明函》内容不实的，属于提供虚假材料谋取中标。对相关制造商信息了解不充分，或者不能确定相关信息真实、准确的，不建议出具《中小企业声明函》。</w:t>
      </w:r>
    </w:p>
    <w:p>
      <w:pPr>
        <w:pBdr>
          <w:top w:val="none" w:color="auto" w:sz="0" w:space="1"/>
          <w:left w:val="none" w:color="auto" w:sz="0" w:space="4"/>
          <w:bottom w:val="none" w:color="auto" w:sz="0" w:space="1"/>
          <w:right w:val="none" w:color="auto" w:sz="0" w:space="4"/>
        </w:pBdr>
        <w:wordWrap w:val="0"/>
        <w:topLinePunct/>
        <w:spacing w:line="440" w:lineRule="exact"/>
        <w:ind w:firstLine="420" w:firstLineChars="200"/>
        <w:jc w:val="left"/>
        <w:rPr>
          <w:rFonts w:ascii="仿宋" w:hAnsi="仿宋" w:eastAsia="仿宋" w:cs="仿宋"/>
          <w:kern w:val="0"/>
          <w:highlight w:val="none"/>
        </w:rPr>
      </w:pPr>
      <w:r>
        <w:rPr>
          <w:rFonts w:hint="eastAsia" w:ascii="仿宋" w:hAnsi="仿宋" w:eastAsia="仿宋" w:cs="仿宋"/>
          <w:kern w:val="0"/>
          <w:highlight w:val="none"/>
        </w:rPr>
        <w:t>5、中小企业不得属于大企业的分支机构，不得存在控股股东为大企业的情形，不得存在与大企业的负责人为同一人的情形。</w:t>
      </w:r>
    </w:p>
    <w:p>
      <w:pPr>
        <w:pBdr>
          <w:top w:val="none" w:color="auto" w:sz="0" w:space="1"/>
          <w:left w:val="none" w:color="auto" w:sz="0" w:space="4"/>
          <w:bottom w:val="none" w:color="auto" w:sz="0" w:space="1"/>
          <w:right w:val="none" w:color="auto" w:sz="0" w:space="4"/>
        </w:pBdr>
        <w:wordWrap w:val="0"/>
        <w:topLinePunct/>
        <w:spacing w:line="440" w:lineRule="exact"/>
        <w:ind w:firstLine="420" w:firstLineChars="200"/>
        <w:jc w:val="left"/>
        <w:rPr>
          <w:rFonts w:ascii="仿宋" w:hAnsi="仿宋" w:eastAsia="仿宋" w:cs="仿宋"/>
          <w:kern w:val="0"/>
          <w:highlight w:val="none"/>
        </w:rPr>
      </w:pPr>
      <w:r>
        <w:rPr>
          <w:rFonts w:hint="eastAsia" w:ascii="仿宋" w:hAnsi="仿宋" w:eastAsia="仿宋" w:cs="仿宋"/>
          <w:kern w:val="0"/>
          <w:highlight w:val="none"/>
        </w:rPr>
        <w:t>6、参照《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pPr>
        <w:pBdr>
          <w:top w:val="none" w:color="auto" w:sz="0" w:space="1"/>
          <w:left w:val="none" w:color="auto" w:sz="0" w:space="4"/>
          <w:bottom w:val="none" w:color="auto" w:sz="0" w:space="1"/>
          <w:right w:val="none" w:color="auto" w:sz="0" w:space="4"/>
        </w:pBdr>
        <w:wordWrap w:val="0"/>
        <w:topLinePunct/>
        <w:spacing w:line="360" w:lineRule="auto"/>
        <w:ind w:firstLine="4620" w:firstLineChars="2200"/>
        <w:jc w:val="left"/>
        <w:rPr>
          <w:rFonts w:ascii="仿宋" w:hAnsi="仿宋" w:eastAsia="仿宋" w:cs="仿宋"/>
          <w:kern w:val="0"/>
          <w:highlight w:val="none"/>
        </w:rPr>
      </w:pPr>
      <w:r>
        <w:rPr>
          <w:rFonts w:hint="eastAsia" w:ascii="仿宋" w:hAnsi="仿宋" w:eastAsia="仿宋" w:cs="仿宋"/>
          <w:kern w:val="0"/>
          <w:highlight w:val="none"/>
        </w:rPr>
        <w:t>企业名称（盖章）：</w:t>
      </w:r>
    </w:p>
    <w:p>
      <w:pPr>
        <w:pBdr>
          <w:top w:val="none" w:color="auto" w:sz="0" w:space="1"/>
          <w:left w:val="none" w:color="auto" w:sz="0" w:space="4"/>
          <w:bottom w:val="none" w:color="auto" w:sz="0" w:space="1"/>
          <w:right w:val="none" w:color="auto" w:sz="0" w:space="4"/>
        </w:pBdr>
        <w:wordWrap w:val="0"/>
        <w:topLinePunct/>
        <w:spacing w:line="360" w:lineRule="auto"/>
        <w:ind w:firstLine="5040" w:firstLineChars="2400"/>
        <w:jc w:val="left"/>
        <w:rPr>
          <w:rFonts w:ascii="仿宋" w:hAnsi="仿宋" w:eastAsia="仿宋" w:cs="仿宋"/>
          <w:kern w:val="0"/>
          <w:highlight w:val="none"/>
        </w:rPr>
      </w:pPr>
      <w:r>
        <w:rPr>
          <w:rFonts w:hint="eastAsia" w:ascii="仿宋" w:hAnsi="仿宋" w:eastAsia="仿宋" w:cs="仿宋"/>
          <w:kern w:val="0"/>
          <w:highlight w:val="none"/>
        </w:rPr>
        <w:t>日 期：</w:t>
      </w:r>
    </w:p>
    <w:p>
      <w:pPr>
        <w:wordWrap w:val="0"/>
        <w:topLinePunct/>
        <w:rPr>
          <w:rFonts w:ascii="仿宋" w:hAnsi="仿宋" w:eastAsia="仿宋" w:cs="仿宋"/>
          <w:b/>
          <w:bCs/>
          <w:kern w:val="0"/>
          <w:highlight w:val="none"/>
        </w:rPr>
      </w:pPr>
      <w:bookmarkStart w:id="133" w:name="_Toc109304977"/>
      <w:bookmarkStart w:id="134" w:name="_Toc18670"/>
      <w:r>
        <w:rPr>
          <w:rFonts w:hint="eastAsia" w:ascii="仿宋" w:hAnsi="仿宋" w:eastAsia="仿宋" w:cs="仿宋"/>
          <w:b/>
          <w:bCs/>
          <w:kern w:val="0"/>
          <w:highlight w:val="none"/>
        </w:rPr>
        <w:br w:type="page"/>
      </w:r>
    </w:p>
    <w:p>
      <w:pPr>
        <w:wordWrap w:val="0"/>
        <w:topLinePunct/>
        <w:spacing w:line="360" w:lineRule="auto"/>
        <w:jc w:val="center"/>
        <w:rPr>
          <w:rFonts w:ascii="仿宋" w:hAnsi="仿宋" w:eastAsia="仿宋" w:cs="仿宋"/>
          <w:b/>
          <w:bCs/>
          <w:kern w:val="0"/>
          <w:highlight w:val="none"/>
        </w:rPr>
      </w:pPr>
    </w:p>
    <w:p>
      <w:pPr>
        <w:wordWrap w:val="0"/>
        <w:topLinePunct/>
        <w:spacing w:line="360" w:lineRule="auto"/>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中小微企业划型标准</w:t>
      </w:r>
      <w:bookmarkEnd w:id="133"/>
      <w:bookmarkEnd w:id="134"/>
    </w:p>
    <w:p>
      <w:pPr>
        <w:pBdr>
          <w:top w:val="none" w:color="auto" w:sz="0" w:space="1"/>
          <w:left w:val="none" w:color="auto" w:sz="0" w:space="4"/>
          <w:bottom w:val="none" w:color="auto" w:sz="0" w:space="1"/>
          <w:right w:val="none" w:color="auto" w:sz="0" w:space="4"/>
        </w:pBdr>
        <w:wordWrap w:val="0"/>
        <w:topLinePunct/>
        <w:rPr>
          <w:rFonts w:ascii="仿宋" w:hAnsi="仿宋" w:eastAsia="仿宋" w:cs="仿宋"/>
          <w:kern w:val="0"/>
          <w:highlight w:val="none"/>
        </w:rPr>
      </w:pPr>
      <w:r>
        <w:rPr>
          <w:rFonts w:hint="eastAsia" w:ascii="仿宋" w:hAnsi="仿宋" w:eastAsia="仿宋" w:cs="仿宋"/>
          <w:kern w:val="0"/>
          <w:sz w:val="24"/>
          <w:szCs w:val="28"/>
          <w:highlight w:val="none"/>
        </w:rPr>
        <w:t>中小微企业划型标准如下：</w:t>
      </w:r>
    </w:p>
    <w:tbl>
      <w:tblPr>
        <w:tblStyle w:val="26"/>
        <w:tblW w:w="4998" w:type="pct"/>
        <w:tblCellSpacing w:w="15" w:type="dxa"/>
        <w:tblInd w:w="0" w:type="dxa"/>
        <w:tblBorders>
          <w:top w:val="single" w:color="999999" w:sz="6" w:space="0"/>
          <w:left w:val="single" w:color="999999" w:sz="6"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9"/>
        <w:gridCol w:w="1748"/>
        <w:gridCol w:w="1073"/>
        <w:gridCol w:w="1914"/>
        <w:gridCol w:w="1509"/>
        <w:gridCol w:w="1150"/>
      </w:tblGrid>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行业名称</w:t>
            </w:r>
          </w:p>
        </w:tc>
        <w:tc>
          <w:tcPr>
            <w:tcW w:w="1002" w:type="pct"/>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指标名称</w:t>
            </w:r>
          </w:p>
        </w:tc>
        <w:tc>
          <w:tcPr>
            <w:tcW w:w="608" w:type="pct"/>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计量单位</w:t>
            </w:r>
          </w:p>
        </w:tc>
        <w:tc>
          <w:tcPr>
            <w:tcW w:w="1098" w:type="pct"/>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中型</w:t>
            </w:r>
          </w:p>
        </w:tc>
        <w:tc>
          <w:tcPr>
            <w:tcW w:w="862" w:type="pct"/>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小型</w:t>
            </w:r>
          </w:p>
        </w:tc>
        <w:tc>
          <w:tcPr>
            <w:tcW w:w="644" w:type="pct"/>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微型</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exact"/>
          <w:tblCellSpacing w:w="15" w:type="dxa"/>
        </w:trPr>
        <w:tc>
          <w:tcPr>
            <w:tcW w:w="679" w:type="pc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农、林、牧、渔</w:t>
            </w: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营业收入（Y）</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万元</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500≤Y＜20000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50≤Y＜500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Y＜50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工业</w:t>
            </w: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从业人员（X）</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人</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300≤X＜1000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20≤X＜300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X＜20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continue"/>
            <w:tcBorders>
              <w:top w:val="nil"/>
              <w:left w:val="single" w:color="auto" w:sz="6" w:space="0"/>
              <w:bottom w:val="single" w:color="999999" w:sz="6" w:space="0"/>
              <w:right w:val="single" w:color="999999" w:sz="6" w:space="0"/>
            </w:tcBorders>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营业收入（Y）</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万元</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2000≤Y＜40000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300≤Y＜2000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Y＜300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建筑业</w:t>
            </w: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营业收入（Y）</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万元</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6000≤Y＜80000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300≤Y＜6000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Y＜300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continue"/>
            <w:tcBorders>
              <w:top w:val="nil"/>
              <w:left w:val="single" w:color="auto" w:sz="6" w:space="0"/>
              <w:bottom w:val="single" w:color="999999" w:sz="6" w:space="0"/>
              <w:right w:val="single" w:color="999999" w:sz="6" w:space="0"/>
            </w:tcBorders>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资产总额（Z）</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万元</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5000≤Z＜80000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300≤Z＜5000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Z＜300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批发业</w:t>
            </w: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从业人员（X）</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人</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20≤X＜200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5≤X＜20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X＜5</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continue"/>
            <w:tcBorders>
              <w:top w:val="nil"/>
              <w:left w:val="single" w:color="auto" w:sz="6" w:space="0"/>
              <w:bottom w:val="single" w:color="999999" w:sz="6" w:space="0"/>
              <w:right w:val="single" w:color="999999" w:sz="6" w:space="0"/>
            </w:tcBorders>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营业收入（Y）</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万元</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5000≤Y＜40000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1000≤Y＜5000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Y＜1000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零售业</w:t>
            </w: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从业人员（X）</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人</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50≤X＜300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10≤X＜50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continue"/>
            <w:tcBorders>
              <w:top w:val="nil"/>
              <w:left w:val="single" w:color="auto" w:sz="6" w:space="0"/>
              <w:bottom w:val="single" w:color="999999" w:sz="6" w:space="0"/>
              <w:right w:val="single" w:color="999999" w:sz="6" w:space="0"/>
            </w:tcBorders>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营业收入（Y）</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万元</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500≤Y＜20000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100≤Y＜500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交通运输业</w:t>
            </w: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从业人员（X）</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人</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300≤X＜1000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20≤X＜300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X＜20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continue"/>
            <w:tcBorders>
              <w:top w:val="nil"/>
              <w:left w:val="single" w:color="auto" w:sz="6" w:space="0"/>
              <w:bottom w:val="single" w:color="999999" w:sz="6" w:space="0"/>
              <w:right w:val="single" w:color="999999" w:sz="6" w:space="0"/>
            </w:tcBorders>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营业收入（Y）</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万元</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3000≤Y＜30000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200≤Y＜3000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Y＜200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仓储业</w:t>
            </w: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从业人员（X）</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人</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100≤X＜200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20≤X＜100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X＜20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continue"/>
            <w:tcBorders>
              <w:top w:val="nil"/>
              <w:left w:val="single" w:color="auto" w:sz="6" w:space="0"/>
              <w:bottom w:val="single" w:color="999999" w:sz="6" w:space="0"/>
              <w:right w:val="single" w:color="999999" w:sz="6" w:space="0"/>
            </w:tcBorders>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营业收入（Y）</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万元</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1000≤Y＜30000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100≤Y＜1000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邮政业</w:t>
            </w: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从业人员（X）</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人</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300≤X＜1000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20≤X＜300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X＜20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continue"/>
            <w:tcBorders>
              <w:top w:val="nil"/>
              <w:left w:val="single" w:color="auto" w:sz="6" w:space="0"/>
              <w:bottom w:val="single" w:color="999999" w:sz="6" w:space="0"/>
              <w:right w:val="single" w:color="999999" w:sz="6" w:space="0"/>
            </w:tcBorders>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营业收入（Y）</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万元</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2000≤Y＜30000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100≤Y＜2000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住宿业</w:t>
            </w: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从业人员（X）</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人</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100≤X＜300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10≤X＜100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continue"/>
            <w:tcBorders>
              <w:top w:val="nil"/>
              <w:left w:val="single" w:color="auto" w:sz="6" w:space="0"/>
              <w:bottom w:val="single" w:color="999999" w:sz="6" w:space="0"/>
              <w:right w:val="single" w:color="999999" w:sz="6" w:space="0"/>
            </w:tcBorders>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营业收入（Y）</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万元</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2000≤Y＜10000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100≤Y＜2000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餐饮业</w:t>
            </w: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从业人员（X）</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人</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100≤X＜300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10≤X＜100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continue"/>
            <w:tcBorders>
              <w:top w:val="nil"/>
              <w:left w:val="single" w:color="auto" w:sz="6" w:space="0"/>
              <w:bottom w:val="single" w:color="999999" w:sz="6" w:space="0"/>
              <w:right w:val="single" w:color="999999" w:sz="6" w:space="0"/>
            </w:tcBorders>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营业收入（Y）</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万元</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2000≤Y＜10000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100≤Y＜2000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exact"/>
          <w:tblCellSpacing w:w="15" w:type="dxa"/>
        </w:trPr>
        <w:tc>
          <w:tcPr>
            <w:tcW w:w="679" w:type="pct"/>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信息传输业</w:t>
            </w: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从业人员（X）</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人</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100≤X＜2000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10≤X＜100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continue"/>
            <w:tcBorders>
              <w:top w:val="nil"/>
              <w:left w:val="single" w:color="auto" w:sz="6" w:space="0"/>
              <w:bottom w:val="single" w:color="999999" w:sz="6" w:space="0"/>
              <w:right w:val="single" w:color="999999" w:sz="6" w:space="0"/>
            </w:tcBorders>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营业收入（Y）</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万元</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1000≤Y＜100000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100≤Y＜1000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软件和信息技术服务业</w:t>
            </w: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从业人员（X）</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人</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100≤X＜300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10≤X＜100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continue"/>
            <w:tcBorders>
              <w:top w:val="nil"/>
              <w:left w:val="single" w:color="auto" w:sz="6" w:space="0"/>
              <w:bottom w:val="single" w:color="999999" w:sz="6" w:space="0"/>
              <w:right w:val="single" w:color="999999" w:sz="6" w:space="0"/>
            </w:tcBorders>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营业收入（Y）</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万元</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1000≤Y＜10000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50≤Y＜1000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Y＜50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房地产开发经营</w:t>
            </w: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营业收入（Y）</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万元</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1000≤Y＜200000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100≤X＜1000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X＜100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continue"/>
            <w:tcBorders>
              <w:top w:val="nil"/>
              <w:left w:val="single" w:color="auto" w:sz="6" w:space="0"/>
              <w:bottom w:val="single" w:color="999999" w:sz="6" w:space="0"/>
              <w:right w:val="single" w:color="999999" w:sz="6" w:space="0"/>
            </w:tcBorders>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资产总额（Z）</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万元</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5000≤Z＜10000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2000≤Y＜5000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Y＜2000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物业管理</w:t>
            </w: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从业人员（X）</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人</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300≤X＜1000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100≤X＜300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X＜100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continue"/>
            <w:tcBorders>
              <w:top w:val="nil"/>
              <w:left w:val="single" w:color="auto" w:sz="6" w:space="0"/>
              <w:bottom w:val="single" w:color="999999" w:sz="6" w:space="0"/>
              <w:right w:val="single" w:color="999999" w:sz="6" w:space="0"/>
            </w:tcBorders>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营业收入（Y）</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万元</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1000≤Y＜5000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500≤Y＜1000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Y＜500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租赁和商务服务业</w:t>
            </w: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从业人员（X）</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人</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100≤X＜300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10≤X＜100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X＜10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CellSpacing w:w="15" w:type="dxa"/>
        </w:trPr>
        <w:tc>
          <w:tcPr>
            <w:tcW w:w="679" w:type="pct"/>
            <w:vMerge w:val="continue"/>
            <w:tcBorders>
              <w:top w:val="nil"/>
              <w:left w:val="single" w:color="auto" w:sz="6" w:space="0"/>
              <w:bottom w:val="single" w:color="999999" w:sz="6" w:space="0"/>
              <w:right w:val="single" w:color="999999" w:sz="6" w:space="0"/>
            </w:tcBorders>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资产总额（Z）</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万元</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8000≤Z＜120000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100≤Z＜8000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Y＜100</w:t>
            </w:r>
          </w:p>
        </w:tc>
      </w:tr>
      <w:tr>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exact"/>
          <w:tblCellSpacing w:w="15" w:type="dxa"/>
        </w:trPr>
        <w:tc>
          <w:tcPr>
            <w:tcW w:w="679" w:type="pc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其他未列明行业</w:t>
            </w:r>
          </w:p>
        </w:tc>
        <w:tc>
          <w:tcPr>
            <w:tcW w:w="100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从业人员（X）</w:t>
            </w:r>
          </w:p>
        </w:tc>
        <w:tc>
          <w:tcPr>
            <w:tcW w:w="60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人</w:t>
            </w:r>
          </w:p>
        </w:tc>
        <w:tc>
          <w:tcPr>
            <w:tcW w:w="1098"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100≤X＜300</w:t>
            </w:r>
          </w:p>
        </w:tc>
        <w:tc>
          <w:tcPr>
            <w:tcW w:w="862"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10≤X＜100</w:t>
            </w:r>
          </w:p>
        </w:tc>
        <w:tc>
          <w:tcPr>
            <w:tcW w:w="644" w:type="pct"/>
            <w:tcBorders>
              <w:top w:val="nil"/>
              <w:left w:val="nil"/>
              <w:bottom w:val="single" w:color="999999" w:sz="6" w:space="0"/>
              <w:right w:val="single" w:color="999999" w:sz="6" w:space="0"/>
            </w:tcBorders>
            <w:tcMar>
              <w:top w:w="0" w:type="dxa"/>
              <w:left w:w="105" w:type="dxa"/>
              <w:bottom w:w="0" w:type="dxa"/>
              <w:right w:w="105" w:type="dxa"/>
            </w:tcMar>
            <w:vAlign w:val="center"/>
          </w:tcPr>
          <w:p>
            <w:pPr>
              <w:pBdr>
                <w:top w:val="none" w:color="auto" w:sz="0" w:space="1"/>
                <w:left w:val="none" w:color="auto" w:sz="0" w:space="4"/>
                <w:bottom w:val="none" w:color="auto" w:sz="0" w:space="1"/>
                <w:right w:val="none" w:color="auto" w:sz="0" w:space="4"/>
              </w:pBdr>
              <w:wordWrap w:val="0"/>
              <w:topLinePunct/>
              <w:jc w:val="center"/>
              <w:rPr>
                <w:rFonts w:ascii="仿宋" w:hAnsi="仿宋" w:eastAsia="仿宋" w:cs="仿宋"/>
                <w:kern w:val="0"/>
                <w:highlight w:val="none"/>
              </w:rPr>
            </w:pPr>
            <w:r>
              <w:rPr>
                <w:rFonts w:hint="eastAsia" w:ascii="仿宋" w:hAnsi="仿宋" w:eastAsia="仿宋" w:cs="仿宋"/>
                <w:kern w:val="0"/>
                <w:highlight w:val="none"/>
              </w:rPr>
              <w:t>X＜10</w:t>
            </w:r>
          </w:p>
        </w:tc>
      </w:tr>
    </w:tbl>
    <w:p>
      <w:pPr>
        <w:wordWrap w:val="0"/>
        <w:topLinePunct/>
        <w:rPr>
          <w:rFonts w:ascii="仿宋" w:hAnsi="仿宋" w:eastAsia="仿宋" w:cs="仿宋"/>
          <w:b/>
          <w:kern w:val="0"/>
          <w:szCs w:val="21"/>
          <w:highlight w:val="none"/>
        </w:rPr>
      </w:pPr>
      <w:r>
        <w:rPr>
          <w:rStyle w:val="29"/>
          <w:rFonts w:hint="eastAsia" w:ascii="仿宋" w:hAnsi="仿宋" w:eastAsia="仿宋" w:cs="仿宋"/>
          <w:kern w:val="0"/>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仿宋" w:hAnsi="仿宋" w:eastAsia="仿宋" w:cs="仿宋"/>
          <w:b/>
          <w:kern w:val="0"/>
          <w:szCs w:val="21"/>
          <w:highlight w:val="none"/>
        </w:rPr>
        <w:br w:type="page"/>
      </w:r>
    </w:p>
    <w:p>
      <w:pPr>
        <w:wordWrap w:val="0"/>
        <w:topLinePunct/>
        <w:rPr>
          <w:rFonts w:ascii="仿宋" w:hAnsi="仿宋" w:eastAsia="仿宋" w:cs="仿宋"/>
          <w:b/>
          <w:kern w:val="0"/>
          <w:szCs w:val="21"/>
          <w:highlight w:val="none"/>
        </w:rPr>
      </w:pPr>
    </w:p>
    <w:p>
      <w:pPr>
        <w:wordWrap w:val="0"/>
        <w:topLinePunct/>
        <w:spacing w:line="360" w:lineRule="auto"/>
        <w:jc w:val="center"/>
        <w:rPr>
          <w:rFonts w:ascii="仿宋" w:hAnsi="仿宋" w:eastAsia="仿宋" w:cs="仿宋"/>
          <w:b/>
          <w:kern w:val="0"/>
          <w:szCs w:val="21"/>
          <w:highlight w:val="none"/>
        </w:rPr>
      </w:pPr>
      <w:r>
        <w:rPr>
          <w:rFonts w:hint="eastAsia" w:ascii="仿宋" w:hAnsi="仿宋" w:eastAsia="仿宋" w:cs="仿宋"/>
          <w:b/>
          <w:kern w:val="0"/>
          <w:szCs w:val="21"/>
          <w:highlight w:val="none"/>
        </w:rPr>
        <w:t>三、开标一览表</w:t>
      </w:r>
    </w:p>
    <w:p>
      <w:pPr>
        <w:wordWrap w:val="0"/>
        <w:topLinePunct/>
        <w:spacing w:line="360" w:lineRule="auto"/>
        <w:ind w:firstLine="480"/>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项目名称：</w:t>
      </w:r>
      <w:r>
        <w:rPr>
          <w:rFonts w:hint="eastAsia" w:ascii="仿宋" w:hAnsi="仿宋" w:eastAsia="仿宋" w:cs="仿宋"/>
          <w:kern w:val="0"/>
          <w:szCs w:val="21"/>
          <w:highlight w:val="none"/>
          <w:lang w:eastAsia="zh-CN"/>
        </w:rPr>
        <w:t>2024-2025年建盛公司燃气表具采购项目</w:t>
      </w:r>
    </w:p>
    <w:p>
      <w:pPr>
        <w:wordWrap w:val="0"/>
        <w:topLinePunct/>
        <w:spacing w:line="360" w:lineRule="auto"/>
        <w:ind w:firstLine="480"/>
        <w:rPr>
          <w:rFonts w:ascii="仿宋" w:hAnsi="仿宋" w:eastAsia="仿宋" w:cs="仿宋"/>
          <w:kern w:val="0"/>
          <w:szCs w:val="21"/>
          <w:highlight w:val="none"/>
        </w:rPr>
      </w:pPr>
      <w:r>
        <w:rPr>
          <w:rFonts w:hint="eastAsia" w:ascii="仿宋" w:hAnsi="仿宋" w:eastAsia="仿宋" w:cs="仿宋"/>
          <w:kern w:val="0"/>
          <w:szCs w:val="21"/>
          <w:highlight w:val="none"/>
        </w:rPr>
        <w:t>项目编号：JSDC-G-20240612001号</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4468"/>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220" w:type="pct"/>
            <w:tcBorders>
              <w:top w:val="single" w:color="auto" w:sz="4" w:space="0"/>
              <w:left w:val="single" w:color="auto" w:sz="4" w:space="0"/>
              <w:bottom w:val="single" w:color="auto" w:sz="4" w:space="0"/>
              <w:right w:val="single" w:color="auto" w:sz="4" w:space="0"/>
            </w:tcBorders>
            <w:vAlign w:val="center"/>
          </w:tcPr>
          <w:p>
            <w:pPr>
              <w:pStyle w:val="8"/>
              <w:wordWrap w:val="0"/>
              <w:topLinePunct/>
              <w:adjustRightInd w:val="0"/>
              <w:snapToGrid w:val="0"/>
              <w:jc w:val="center"/>
              <w:rPr>
                <w:rFonts w:ascii="仿宋" w:hAnsi="仿宋" w:eastAsia="仿宋" w:cs="仿宋"/>
                <w:sz w:val="24"/>
                <w:szCs w:val="21"/>
                <w:highlight w:val="none"/>
              </w:rPr>
            </w:pPr>
            <w:r>
              <w:rPr>
                <w:rFonts w:hint="eastAsia" w:ascii="仿宋" w:hAnsi="仿宋" w:eastAsia="仿宋" w:cs="仿宋"/>
                <w:sz w:val="24"/>
                <w:szCs w:val="21"/>
                <w:highlight w:val="none"/>
              </w:rPr>
              <w:t>品名</w:t>
            </w:r>
          </w:p>
        </w:tc>
        <w:tc>
          <w:tcPr>
            <w:tcW w:w="2622"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sz w:val="24"/>
                <w:szCs w:val="21"/>
                <w:highlight w:val="none"/>
              </w:rPr>
            </w:pPr>
            <w:r>
              <w:rPr>
                <w:rFonts w:hint="eastAsia" w:ascii="仿宋" w:hAnsi="仿宋" w:eastAsia="仿宋" w:cs="仿宋"/>
                <w:kern w:val="0"/>
                <w:sz w:val="24"/>
                <w:szCs w:val="21"/>
                <w:highlight w:val="none"/>
              </w:rPr>
              <w:t>投标报价</w:t>
            </w:r>
          </w:p>
        </w:tc>
        <w:tc>
          <w:tcPr>
            <w:tcW w:w="1157" w:type="pct"/>
            <w:tcBorders>
              <w:top w:val="single" w:color="auto" w:sz="4" w:space="0"/>
              <w:left w:val="single" w:color="auto" w:sz="4" w:space="0"/>
              <w:bottom w:val="single" w:color="auto" w:sz="4" w:space="0"/>
              <w:right w:val="single" w:color="auto" w:sz="4" w:space="0"/>
            </w:tcBorders>
            <w:vAlign w:val="center"/>
          </w:tcPr>
          <w:p>
            <w:pPr>
              <w:wordWrap w:val="0"/>
              <w:topLinePunct/>
              <w:adjustRightInd w:val="0"/>
              <w:snapToGrid w:val="0"/>
              <w:jc w:val="center"/>
              <w:rPr>
                <w:rFonts w:ascii="仿宋" w:hAnsi="仿宋" w:eastAsia="仿宋" w:cs="仿宋"/>
                <w:kern w:val="0"/>
                <w:sz w:val="24"/>
                <w:szCs w:val="21"/>
                <w:highlight w:val="none"/>
              </w:rPr>
            </w:pPr>
            <w:r>
              <w:rPr>
                <w:rFonts w:hint="eastAsia" w:ascii="仿宋" w:hAnsi="仿宋" w:eastAsia="仿宋" w:cs="仿宋"/>
                <w:kern w:val="0"/>
                <w:sz w:val="24"/>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1220" w:type="pct"/>
            <w:tcBorders>
              <w:top w:val="single" w:color="auto" w:sz="4" w:space="0"/>
              <w:left w:val="single" w:color="auto" w:sz="4" w:space="0"/>
              <w:bottom w:val="single" w:color="auto" w:sz="4" w:space="0"/>
              <w:right w:val="single" w:color="auto" w:sz="4" w:space="0"/>
            </w:tcBorders>
            <w:vAlign w:val="center"/>
          </w:tcPr>
          <w:p>
            <w:pPr>
              <w:pStyle w:val="8"/>
              <w:wordWrap w:val="0"/>
              <w:topLinePunct/>
              <w:adjustRightInd w:val="0"/>
              <w:snapToGrid w:val="0"/>
              <w:jc w:val="center"/>
              <w:rPr>
                <w:rFonts w:ascii="仿宋" w:hAnsi="仿宋" w:eastAsia="仿宋" w:cs="仿宋"/>
                <w:sz w:val="24"/>
                <w:szCs w:val="21"/>
                <w:highlight w:val="none"/>
              </w:rPr>
            </w:pPr>
          </w:p>
        </w:tc>
        <w:tc>
          <w:tcPr>
            <w:tcW w:w="2622" w:type="pct"/>
            <w:tcBorders>
              <w:top w:val="single" w:color="auto" w:sz="4" w:space="0"/>
              <w:left w:val="single" w:color="auto" w:sz="4" w:space="0"/>
              <w:bottom w:val="single" w:color="auto" w:sz="4" w:space="0"/>
              <w:right w:val="single" w:color="auto" w:sz="4" w:space="0"/>
            </w:tcBorders>
            <w:vAlign w:val="center"/>
          </w:tcPr>
          <w:p>
            <w:pPr>
              <w:pStyle w:val="54"/>
              <w:wordWrap w:val="0"/>
              <w:topLinePunct/>
              <w:snapToGrid w:val="0"/>
              <w:spacing w:before="0" w:after="0" w:line="240" w:lineRule="auto"/>
              <w:ind w:firstLine="0"/>
              <w:rPr>
                <w:rFonts w:ascii="仿宋" w:hAnsi="仿宋" w:eastAsia="仿宋" w:cs="仿宋"/>
                <w:szCs w:val="21"/>
                <w:highlight w:val="none"/>
              </w:rPr>
            </w:pPr>
            <w:r>
              <w:rPr>
                <w:rFonts w:hint="eastAsia" w:ascii="仿宋" w:hAnsi="仿宋" w:eastAsia="仿宋" w:cs="仿宋"/>
                <w:szCs w:val="21"/>
                <w:highlight w:val="none"/>
              </w:rPr>
              <w:t>大写：</w:t>
            </w:r>
          </w:p>
          <w:p>
            <w:pPr>
              <w:pStyle w:val="54"/>
              <w:wordWrap w:val="0"/>
              <w:topLinePunct/>
              <w:snapToGrid w:val="0"/>
              <w:spacing w:before="0" w:after="0" w:line="240" w:lineRule="auto"/>
              <w:ind w:firstLine="0"/>
              <w:rPr>
                <w:rFonts w:ascii="仿宋" w:hAnsi="仿宋" w:eastAsia="仿宋" w:cs="仿宋"/>
                <w:szCs w:val="21"/>
                <w:highlight w:val="none"/>
              </w:rPr>
            </w:pPr>
            <w:r>
              <w:rPr>
                <w:rFonts w:hint="eastAsia" w:ascii="仿宋" w:hAnsi="仿宋" w:eastAsia="仿宋" w:cs="仿宋"/>
                <w:szCs w:val="21"/>
                <w:highlight w:val="none"/>
              </w:rPr>
              <w:t>小写：</w:t>
            </w:r>
          </w:p>
        </w:tc>
        <w:tc>
          <w:tcPr>
            <w:tcW w:w="1157" w:type="pct"/>
            <w:tcBorders>
              <w:top w:val="single" w:color="auto" w:sz="4" w:space="0"/>
              <w:left w:val="single" w:color="auto" w:sz="4" w:space="0"/>
              <w:bottom w:val="single" w:color="auto" w:sz="4" w:space="0"/>
              <w:right w:val="single" w:color="auto" w:sz="4" w:space="0"/>
            </w:tcBorders>
            <w:vAlign w:val="center"/>
          </w:tcPr>
          <w:p>
            <w:pPr>
              <w:pStyle w:val="54"/>
              <w:wordWrap w:val="0"/>
              <w:topLinePunct/>
              <w:snapToGrid w:val="0"/>
              <w:spacing w:before="0" w:after="0" w:line="240" w:lineRule="auto"/>
              <w:ind w:firstLine="0"/>
              <w:jc w:val="center"/>
              <w:rPr>
                <w:rFonts w:ascii="仿宋" w:hAnsi="仿宋" w:eastAsia="仿宋" w:cs="仿宋"/>
                <w:szCs w:val="21"/>
                <w:highlight w:val="none"/>
              </w:rPr>
            </w:pPr>
          </w:p>
        </w:tc>
      </w:tr>
    </w:tbl>
    <w:p>
      <w:pPr>
        <w:wordWrap w:val="0"/>
        <w:topLinePunct/>
        <w:spacing w:line="400" w:lineRule="exact"/>
        <w:rPr>
          <w:rFonts w:ascii="仿宋" w:hAnsi="仿宋" w:eastAsia="仿宋" w:cs="仿宋"/>
          <w:b/>
          <w:kern w:val="0"/>
          <w:szCs w:val="21"/>
          <w:highlight w:val="none"/>
        </w:rPr>
      </w:pPr>
    </w:p>
    <w:p>
      <w:pPr>
        <w:wordWrap w:val="0"/>
        <w:topLinePunct/>
        <w:spacing w:line="360" w:lineRule="auto"/>
        <w:rPr>
          <w:rFonts w:ascii="仿宋" w:hAnsi="仿宋" w:eastAsia="仿宋" w:cs="仿宋"/>
          <w:kern w:val="0"/>
          <w:highlight w:val="none"/>
        </w:rPr>
      </w:pPr>
      <w:r>
        <w:rPr>
          <w:rFonts w:hint="eastAsia" w:ascii="仿宋" w:hAnsi="仿宋" w:eastAsia="仿宋" w:cs="仿宋"/>
          <w:kern w:val="0"/>
          <w:highlight w:val="none"/>
        </w:rPr>
        <w:t>投标人公章：</w:t>
      </w:r>
      <w:r>
        <w:rPr>
          <w:rFonts w:hint="eastAsia" w:ascii="仿宋" w:hAnsi="仿宋" w:eastAsia="仿宋" w:cs="仿宋"/>
          <w:kern w:val="0"/>
          <w:highlight w:val="none"/>
          <w:u w:val="single"/>
        </w:rPr>
        <w:t xml:space="preserve">                         </w:t>
      </w:r>
    </w:p>
    <w:p>
      <w:pPr>
        <w:wordWrap w:val="0"/>
        <w:topLinePunct/>
        <w:spacing w:line="360" w:lineRule="auto"/>
        <w:rPr>
          <w:rFonts w:ascii="仿宋" w:hAnsi="仿宋" w:eastAsia="仿宋" w:cs="仿宋"/>
          <w:kern w:val="0"/>
          <w:highlight w:val="none"/>
        </w:rPr>
      </w:pPr>
      <w:r>
        <w:rPr>
          <w:rFonts w:hint="eastAsia" w:ascii="仿宋" w:hAnsi="仿宋" w:eastAsia="仿宋" w:cs="仿宋"/>
          <w:kern w:val="0"/>
          <w:szCs w:val="21"/>
          <w:highlight w:val="none"/>
        </w:rPr>
        <w:t>法定代表人或授权代表（签字）：</w:t>
      </w:r>
      <w:r>
        <w:rPr>
          <w:rFonts w:hint="eastAsia" w:ascii="仿宋" w:hAnsi="仿宋" w:eastAsia="仿宋" w:cs="仿宋"/>
          <w:kern w:val="0"/>
          <w:highlight w:val="none"/>
          <w:u w:val="single"/>
        </w:rPr>
        <w:t xml:space="preserve">                          </w:t>
      </w:r>
    </w:p>
    <w:p>
      <w:pPr>
        <w:wordWrap w:val="0"/>
        <w:topLinePunct/>
        <w:spacing w:line="360" w:lineRule="auto"/>
        <w:rPr>
          <w:rFonts w:ascii="仿宋" w:hAnsi="仿宋" w:eastAsia="仿宋" w:cs="仿宋"/>
          <w:kern w:val="0"/>
          <w:highlight w:val="none"/>
        </w:rPr>
      </w:pPr>
      <w:r>
        <w:rPr>
          <w:rFonts w:hint="eastAsia" w:ascii="仿宋" w:hAnsi="仿宋" w:eastAsia="仿宋" w:cs="仿宋"/>
          <w:kern w:val="0"/>
          <w:highlight w:val="none"/>
        </w:rPr>
        <w:t>日期：</w:t>
      </w:r>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年</w:t>
      </w:r>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月</w:t>
      </w:r>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 xml:space="preserve">日        </w:t>
      </w:r>
    </w:p>
    <w:p>
      <w:pPr>
        <w:wordWrap w:val="0"/>
        <w:topLinePunct/>
        <w:spacing w:line="400" w:lineRule="exact"/>
        <w:rPr>
          <w:rFonts w:ascii="仿宋" w:hAnsi="仿宋" w:eastAsia="仿宋" w:cs="仿宋"/>
          <w:kern w:val="0"/>
          <w:szCs w:val="21"/>
          <w:highlight w:val="none"/>
        </w:rPr>
      </w:pPr>
    </w:p>
    <w:p>
      <w:pPr>
        <w:wordWrap w:val="0"/>
        <w:topLinePunct/>
        <w:spacing w:line="360" w:lineRule="auto"/>
        <w:ind w:firstLine="480"/>
        <w:rPr>
          <w:rFonts w:ascii="仿宋" w:hAnsi="仿宋" w:eastAsia="仿宋" w:cs="仿宋"/>
          <w:b/>
          <w:bCs/>
          <w:i/>
          <w:kern w:val="0"/>
          <w:szCs w:val="21"/>
          <w:highlight w:val="none"/>
        </w:rPr>
      </w:pPr>
      <w:r>
        <w:rPr>
          <w:rFonts w:hint="eastAsia" w:ascii="仿宋" w:hAnsi="仿宋" w:eastAsia="仿宋" w:cs="仿宋"/>
          <w:b/>
          <w:bCs/>
          <w:kern w:val="0"/>
          <w:szCs w:val="21"/>
          <w:highlight w:val="none"/>
        </w:rPr>
        <w:t>填写说明：</w:t>
      </w:r>
    </w:p>
    <w:p>
      <w:pPr>
        <w:wordWrap w:val="0"/>
        <w:topLinePunct/>
        <w:spacing w:line="360" w:lineRule="auto"/>
        <w:ind w:firstLine="480"/>
        <w:rPr>
          <w:rFonts w:ascii="仿宋" w:hAnsi="仿宋" w:eastAsia="仿宋" w:cs="仿宋"/>
          <w:b/>
          <w:bCs/>
          <w:i/>
          <w:kern w:val="0"/>
          <w:szCs w:val="21"/>
          <w:highlight w:val="none"/>
          <w:u w:val="single"/>
        </w:rPr>
      </w:pPr>
      <w:r>
        <w:rPr>
          <w:rFonts w:hint="eastAsia" w:ascii="仿宋" w:hAnsi="仿宋" w:eastAsia="仿宋" w:cs="仿宋"/>
          <w:b/>
          <w:bCs/>
          <w:i/>
          <w:kern w:val="0"/>
          <w:szCs w:val="21"/>
          <w:highlight w:val="none"/>
        </w:rPr>
        <w:t>1、</w:t>
      </w:r>
      <w:r>
        <w:rPr>
          <w:rFonts w:hint="eastAsia" w:ascii="仿宋" w:hAnsi="仿宋" w:eastAsia="仿宋" w:cs="仿宋"/>
          <w:b/>
          <w:bCs/>
          <w:i/>
          <w:kern w:val="0"/>
          <w:szCs w:val="21"/>
          <w:highlight w:val="none"/>
          <w:u w:val="single"/>
        </w:rPr>
        <w:t>开标一览表必须单独密封在信封中，在投标截止时间前与投标文件分别递交，否则视为无效投标。</w:t>
      </w:r>
    </w:p>
    <w:p>
      <w:pPr>
        <w:wordWrap w:val="0"/>
        <w:topLinePunct/>
        <w:spacing w:line="360" w:lineRule="auto"/>
        <w:ind w:firstLine="422" w:firstLineChars="200"/>
        <w:rPr>
          <w:rFonts w:ascii="仿宋" w:hAnsi="仿宋" w:eastAsia="仿宋" w:cs="仿宋"/>
          <w:b/>
          <w:bCs/>
          <w:i/>
          <w:kern w:val="0"/>
          <w:szCs w:val="21"/>
          <w:highlight w:val="none"/>
        </w:rPr>
      </w:pPr>
      <w:r>
        <w:rPr>
          <w:rFonts w:hint="eastAsia" w:ascii="仿宋" w:hAnsi="仿宋" w:eastAsia="仿宋" w:cs="仿宋"/>
          <w:b/>
          <w:bCs/>
          <w:i/>
          <w:kern w:val="0"/>
          <w:szCs w:val="21"/>
          <w:highlight w:val="none"/>
        </w:rPr>
        <w:t>2、</w:t>
      </w:r>
      <w:r>
        <w:rPr>
          <w:rFonts w:hint="eastAsia" w:ascii="仿宋" w:hAnsi="仿宋" w:eastAsia="仿宋" w:cs="仿宋"/>
          <w:b/>
          <w:bCs/>
          <w:i/>
          <w:kern w:val="0"/>
          <w:szCs w:val="21"/>
          <w:highlight w:val="none"/>
          <w:u w:val="single"/>
        </w:rPr>
        <w:t>本项目仅接受一个价格，不得填报有选择性报价方案；本报价会直接影响经营过程中的收益，投标人应理清其中的风险，请谨慎填报。</w:t>
      </w:r>
    </w:p>
    <w:p>
      <w:pPr>
        <w:wordWrap w:val="0"/>
        <w:topLinePunct/>
        <w:spacing w:line="360" w:lineRule="auto"/>
        <w:ind w:firstLine="422" w:firstLineChars="200"/>
        <w:rPr>
          <w:rFonts w:ascii="仿宋" w:hAnsi="仿宋" w:eastAsia="仿宋" w:cs="仿宋"/>
          <w:b/>
          <w:bCs/>
          <w:kern w:val="0"/>
          <w:szCs w:val="21"/>
          <w:highlight w:val="none"/>
        </w:rPr>
      </w:pPr>
      <w:r>
        <w:rPr>
          <w:rFonts w:hint="eastAsia" w:ascii="仿宋" w:hAnsi="仿宋" w:eastAsia="仿宋" w:cs="仿宋"/>
          <w:b/>
          <w:bCs/>
          <w:i/>
          <w:kern w:val="0"/>
          <w:szCs w:val="21"/>
          <w:highlight w:val="none"/>
        </w:rPr>
        <w:t>3、</w:t>
      </w:r>
      <w:r>
        <w:rPr>
          <w:rFonts w:hint="eastAsia" w:ascii="仿宋" w:hAnsi="仿宋" w:eastAsia="仿宋" w:cs="仿宋"/>
          <w:b/>
          <w:bCs/>
          <w:i/>
          <w:kern w:val="0"/>
          <w:szCs w:val="21"/>
          <w:highlight w:val="none"/>
          <w:u w:val="single"/>
        </w:rPr>
        <w:t>开标一览表</w:t>
      </w:r>
      <w:r>
        <w:rPr>
          <w:rFonts w:hint="eastAsia" w:ascii="仿宋" w:hAnsi="仿宋" w:eastAsia="仿宋" w:cs="仿宋"/>
          <w:b/>
          <w:bCs/>
          <w:i/>
          <w:iCs/>
          <w:kern w:val="0"/>
          <w:szCs w:val="21"/>
          <w:highlight w:val="none"/>
          <w:u w:val="single"/>
        </w:rPr>
        <w:t>必须加盖投标人公章（复印件无效）</w:t>
      </w:r>
      <w:r>
        <w:rPr>
          <w:rFonts w:hint="eastAsia" w:ascii="仿宋" w:hAnsi="仿宋" w:eastAsia="仿宋" w:cs="仿宋"/>
          <w:b/>
          <w:bCs/>
          <w:i/>
          <w:kern w:val="0"/>
          <w:szCs w:val="21"/>
          <w:highlight w:val="none"/>
        </w:rPr>
        <w:t>。</w:t>
      </w:r>
    </w:p>
    <w:p>
      <w:pPr>
        <w:wordWrap w:val="0"/>
        <w:topLinePunct/>
        <w:rPr>
          <w:rFonts w:ascii="仿宋" w:hAnsi="仿宋" w:eastAsia="仿宋" w:cs="仿宋"/>
          <w:b/>
          <w:kern w:val="0"/>
          <w:szCs w:val="21"/>
          <w:highlight w:val="none"/>
        </w:rPr>
      </w:pPr>
      <w:r>
        <w:rPr>
          <w:rFonts w:hint="eastAsia" w:ascii="仿宋" w:hAnsi="仿宋" w:eastAsia="仿宋" w:cs="仿宋"/>
          <w:b/>
          <w:kern w:val="0"/>
          <w:szCs w:val="21"/>
          <w:highlight w:val="none"/>
        </w:rPr>
        <w:br w:type="page"/>
      </w:r>
    </w:p>
    <w:p>
      <w:pPr>
        <w:wordWrap w:val="0"/>
        <w:topLinePunct/>
        <w:jc w:val="center"/>
        <w:rPr>
          <w:rFonts w:ascii="仿宋" w:hAnsi="仿宋" w:eastAsia="仿宋" w:cs="仿宋"/>
          <w:b/>
          <w:kern w:val="0"/>
          <w:szCs w:val="21"/>
          <w:highlight w:val="none"/>
        </w:rPr>
      </w:pPr>
    </w:p>
    <w:p>
      <w:pPr>
        <w:wordWrap w:val="0"/>
        <w:topLinePunct/>
        <w:jc w:val="center"/>
        <w:rPr>
          <w:rFonts w:ascii="仿宋" w:hAnsi="仿宋" w:eastAsia="仿宋" w:cs="仿宋"/>
          <w:b/>
          <w:kern w:val="0"/>
          <w:szCs w:val="21"/>
          <w:highlight w:val="none"/>
        </w:rPr>
      </w:pPr>
      <w:r>
        <w:rPr>
          <w:rFonts w:hint="eastAsia" w:ascii="仿宋" w:hAnsi="仿宋" w:eastAsia="仿宋" w:cs="仿宋"/>
          <w:b/>
          <w:kern w:val="0"/>
          <w:szCs w:val="21"/>
          <w:highlight w:val="none"/>
        </w:rPr>
        <w:t>（一）投标报价明细表</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1"/>
        <w:gridCol w:w="1658"/>
        <w:gridCol w:w="2306"/>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556" w:type="pct"/>
            <w:vAlign w:val="center"/>
          </w:tcPr>
          <w:p>
            <w:pPr>
              <w:wordWrap w:val="0"/>
              <w:topLinePunct/>
              <w:jc w:val="center"/>
              <w:rPr>
                <w:rFonts w:ascii="仿宋" w:hAnsi="仿宋" w:eastAsia="仿宋" w:cs="仿宋"/>
                <w:kern w:val="0"/>
                <w:szCs w:val="21"/>
                <w:highlight w:val="none"/>
              </w:rPr>
            </w:pPr>
            <w:r>
              <w:rPr>
                <w:rFonts w:hint="eastAsia" w:ascii="仿宋" w:hAnsi="仿宋" w:eastAsia="仿宋" w:cs="仿宋"/>
                <w:kern w:val="0"/>
                <w:szCs w:val="21"/>
                <w:highlight w:val="none"/>
              </w:rPr>
              <w:t>1</w:t>
            </w:r>
          </w:p>
        </w:tc>
        <w:tc>
          <w:tcPr>
            <w:tcW w:w="973" w:type="pct"/>
            <w:vAlign w:val="center"/>
          </w:tcPr>
          <w:p>
            <w:pPr>
              <w:wordWrap w:val="0"/>
              <w:topLinePunct/>
              <w:jc w:val="center"/>
              <w:rPr>
                <w:rFonts w:ascii="仿宋" w:hAnsi="仿宋" w:eastAsia="仿宋" w:cs="仿宋"/>
                <w:kern w:val="0"/>
                <w:szCs w:val="21"/>
                <w:highlight w:val="none"/>
              </w:rPr>
            </w:pPr>
            <w:r>
              <w:rPr>
                <w:rFonts w:hint="eastAsia" w:ascii="仿宋" w:hAnsi="仿宋" w:eastAsia="仿宋" w:cs="仿宋"/>
                <w:kern w:val="0"/>
                <w:szCs w:val="21"/>
                <w:highlight w:val="none"/>
              </w:rPr>
              <w:t>2</w:t>
            </w:r>
          </w:p>
        </w:tc>
        <w:tc>
          <w:tcPr>
            <w:tcW w:w="1353" w:type="pct"/>
            <w:vAlign w:val="center"/>
          </w:tcPr>
          <w:p>
            <w:pPr>
              <w:wordWrap w:val="0"/>
              <w:topLinePunct/>
              <w:jc w:val="center"/>
              <w:rPr>
                <w:rFonts w:ascii="仿宋" w:hAnsi="仿宋" w:eastAsia="仿宋" w:cs="仿宋"/>
                <w:kern w:val="0"/>
                <w:szCs w:val="21"/>
                <w:highlight w:val="none"/>
              </w:rPr>
            </w:pPr>
            <w:r>
              <w:rPr>
                <w:rFonts w:hint="eastAsia" w:ascii="仿宋" w:hAnsi="仿宋" w:eastAsia="仿宋" w:cs="仿宋"/>
                <w:kern w:val="0"/>
                <w:szCs w:val="21"/>
                <w:highlight w:val="none"/>
              </w:rPr>
              <w:t>3</w:t>
            </w:r>
          </w:p>
        </w:tc>
        <w:tc>
          <w:tcPr>
            <w:tcW w:w="1115" w:type="pct"/>
            <w:vAlign w:val="center"/>
          </w:tcPr>
          <w:p>
            <w:pPr>
              <w:wordWrap w:val="0"/>
              <w:topLinePunct/>
              <w:jc w:val="center"/>
              <w:rPr>
                <w:rFonts w:ascii="仿宋" w:hAnsi="仿宋" w:eastAsia="仿宋" w:cs="仿宋"/>
                <w:kern w:val="0"/>
                <w:szCs w:val="21"/>
                <w:highlight w:val="none"/>
              </w:rPr>
            </w:pPr>
            <w:r>
              <w:rPr>
                <w:rFonts w:hint="eastAsia" w:ascii="仿宋" w:hAnsi="仿宋" w:eastAsia="仿宋" w:cs="仿宋"/>
                <w:kern w:val="0"/>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trPr>
        <w:tc>
          <w:tcPr>
            <w:tcW w:w="1556" w:type="pct"/>
            <w:vAlign w:val="center"/>
          </w:tcPr>
          <w:p>
            <w:pPr>
              <w:wordWrap w:val="0"/>
              <w:topLinePunct/>
              <w:jc w:val="center"/>
              <w:rPr>
                <w:rFonts w:ascii="仿宋" w:hAnsi="仿宋" w:eastAsia="仿宋" w:cs="仿宋"/>
                <w:kern w:val="0"/>
                <w:szCs w:val="21"/>
                <w:highlight w:val="none"/>
              </w:rPr>
            </w:pPr>
            <w:r>
              <w:rPr>
                <w:rFonts w:hint="eastAsia" w:ascii="仿宋" w:hAnsi="仿宋" w:eastAsia="仿宋" w:cs="仿宋"/>
                <w:kern w:val="0"/>
                <w:szCs w:val="21"/>
                <w:highlight w:val="none"/>
              </w:rPr>
              <w:t>名称</w:t>
            </w:r>
          </w:p>
        </w:tc>
        <w:tc>
          <w:tcPr>
            <w:tcW w:w="973" w:type="pct"/>
            <w:vAlign w:val="center"/>
          </w:tcPr>
          <w:p>
            <w:pPr>
              <w:wordWrap w:val="0"/>
              <w:topLinePunct/>
              <w:jc w:val="center"/>
              <w:rPr>
                <w:rFonts w:ascii="仿宋" w:hAnsi="仿宋" w:eastAsia="仿宋" w:cs="仿宋"/>
                <w:kern w:val="0"/>
                <w:szCs w:val="21"/>
                <w:highlight w:val="none"/>
              </w:rPr>
            </w:pPr>
            <w:r>
              <w:rPr>
                <w:rFonts w:hint="eastAsia" w:ascii="仿宋" w:hAnsi="仿宋" w:eastAsia="仿宋" w:cs="仿宋"/>
                <w:kern w:val="0"/>
                <w:szCs w:val="21"/>
                <w:highlight w:val="none"/>
              </w:rPr>
              <w:t>数量</w:t>
            </w:r>
          </w:p>
        </w:tc>
        <w:tc>
          <w:tcPr>
            <w:tcW w:w="1353" w:type="pct"/>
            <w:vAlign w:val="center"/>
          </w:tcPr>
          <w:p>
            <w:pPr>
              <w:wordWrap w:val="0"/>
              <w:topLinePunct/>
              <w:jc w:val="center"/>
              <w:rPr>
                <w:rFonts w:ascii="仿宋" w:hAnsi="仿宋" w:eastAsia="仿宋" w:cs="仿宋"/>
                <w:kern w:val="0"/>
                <w:szCs w:val="21"/>
                <w:highlight w:val="none"/>
              </w:rPr>
            </w:pPr>
            <w:r>
              <w:rPr>
                <w:rFonts w:hint="eastAsia" w:ascii="仿宋" w:hAnsi="仿宋" w:eastAsia="仿宋" w:cs="仿宋"/>
                <w:kern w:val="0"/>
                <w:szCs w:val="21"/>
                <w:highlight w:val="none"/>
              </w:rPr>
              <w:t>单价</w:t>
            </w:r>
          </w:p>
        </w:tc>
        <w:tc>
          <w:tcPr>
            <w:tcW w:w="1115" w:type="pct"/>
            <w:vAlign w:val="center"/>
          </w:tcPr>
          <w:p>
            <w:pPr>
              <w:wordWrap w:val="0"/>
              <w:topLinePunct/>
              <w:jc w:val="center"/>
              <w:rPr>
                <w:rFonts w:ascii="仿宋" w:hAnsi="仿宋" w:eastAsia="仿宋" w:cs="仿宋"/>
                <w:kern w:val="0"/>
                <w:szCs w:val="21"/>
                <w:highlight w:val="none"/>
              </w:rPr>
            </w:pPr>
            <w:r>
              <w:rPr>
                <w:rFonts w:hint="eastAsia" w:ascii="仿宋" w:hAnsi="仿宋" w:eastAsia="仿宋" w:cs="仿宋"/>
                <w:kern w:val="0"/>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556" w:type="pct"/>
            <w:vAlign w:val="center"/>
          </w:tcPr>
          <w:p>
            <w:pPr>
              <w:wordWrap w:val="0"/>
              <w:topLinePunct/>
              <w:jc w:val="center"/>
              <w:rPr>
                <w:rFonts w:ascii="仿宋" w:hAnsi="仿宋" w:eastAsia="仿宋" w:cs="仿宋"/>
                <w:kern w:val="0"/>
                <w:szCs w:val="21"/>
                <w:highlight w:val="none"/>
              </w:rPr>
            </w:pPr>
          </w:p>
        </w:tc>
        <w:tc>
          <w:tcPr>
            <w:tcW w:w="973" w:type="pct"/>
            <w:vAlign w:val="center"/>
          </w:tcPr>
          <w:p>
            <w:pPr>
              <w:wordWrap w:val="0"/>
              <w:topLinePunct/>
              <w:jc w:val="center"/>
              <w:rPr>
                <w:rFonts w:ascii="仿宋" w:hAnsi="仿宋" w:eastAsia="仿宋" w:cs="仿宋"/>
                <w:kern w:val="0"/>
                <w:szCs w:val="21"/>
                <w:highlight w:val="none"/>
              </w:rPr>
            </w:pPr>
          </w:p>
        </w:tc>
        <w:tc>
          <w:tcPr>
            <w:tcW w:w="1353" w:type="pct"/>
            <w:vAlign w:val="center"/>
          </w:tcPr>
          <w:p>
            <w:pPr>
              <w:wordWrap w:val="0"/>
              <w:topLinePunct/>
              <w:jc w:val="center"/>
              <w:rPr>
                <w:rFonts w:ascii="仿宋" w:hAnsi="仿宋" w:eastAsia="仿宋" w:cs="仿宋"/>
                <w:kern w:val="0"/>
                <w:szCs w:val="21"/>
                <w:highlight w:val="none"/>
              </w:rPr>
            </w:pPr>
          </w:p>
        </w:tc>
        <w:tc>
          <w:tcPr>
            <w:tcW w:w="1115" w:type="pct"/>
            <w:vAlign w:val="center"/>
          </w:tcPr>
          <w:p>
            <w:pPr>
              <w:wordWrap w:val="0"/>
              <w:topLinePunct/>
              <w:jc w:val="center"/>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556" w:type="pct"/>
            <w:vAlign w:val="center"/>
          </w:tcPr>
          <w:p>
            <w:pPr>
              <w:wordWrap w:val="0"/>
              <w:topLinePunct/>
              <w:jc w:val="center"/>
              <w:rPr>
                <w:rFonts w:ascii="仿宋" w:hAnsi="仿宋" w:eastAsia="仿宋" w:cs="仿宋"/>
                <w:kern w:val="0"/>
                <w:szCs w:val="21"/>
                <w:highlight w:val="none"/>
              </w:rPr>
            </w:pPr>
          </w:p>
        </w:tc>
        <w:tc>
          <w:tcPr>
            <w:tcW w:w="973" w:type="pct"/>
            <w:vAlign w:val="center"/>
          </w:tcPr>
          <w:p>
            <w:pPr>
              <w:wordWrap w:val="0"/>
              <w:topLinePunct/>
              <w:jc w:val="center"/>
              <w:rPr>
                <w:rFonts w:ascii="仿宋" w:hAnsi="仿宋" w:eastAsia="仿宋" w:cs="仿宋"/>
                <w:kern w:val="0"/>
                <w:szCs w:val="21"/>
                <w:highlight w:val="none"/>
              </w:rPr>
            </w:pPr>
          </w:p>
        </w:tc>
        <w:tc>
          <w:tcPr>
            <w:tcW w:w="1353" w:type="pct"/>
            <w:vAlign w:val="center"/>
          </w:tcPr>
          <w:p>
            <w:pPr>
              <w:wordWrap w:val="0"/>
              <w:topLinePunct/>
              <w:jc w:val="center"/>
              <w:rPr>
                <w:rFonts w:ascii="仿宋" w:hAnsi="仿宋" w:eastAsia="仿宋" w:cs="仿宋"/>
                <w:kern w:val="0"/>
                <w:szCs w:val="21"/>
                <w:highlight w:val="none"/>
              </w:rPr>
            </w:pPr>
          </w:p>
        </w:tc>
        <w:tc>
          <w:tcPr>
            <w:tcW w:w="1115" w:type="pct"/>
            <w:vAlign w:val="center"/>
          </w:tcPr>
          <w:p>
            <w:pPr>
              <w:wordWrap w:val="0"/>
              <w:topLinePunct/>
              <w:jc w:val="center"/>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556" w:type="pct"/>
            <w:vAlign w:val="center"/>
          </w:tcPr>
          <w:p>
            <w:pPr>
              <w:wordWrap w:val="0"/>
              <w:topLinePunct/>
              <w:jc w:val="center"/>
              <w:rPr>
                <w:rFonts w:ascii="仿宋" w:hAnsi="仿宋" w:eastAsia="仿宋" w:cs="仿宋"/>
                <w:kern w:val="0"/>
                <w:szCs w:val="21"/>
                <w:highlight w:val="none"/>
              </w:rPr>
            </w:pPr>
          </w:p>
        </w:tc>
        <w:tc>
          <w:tcPr>
            <w:tcW w:w="973" w:type="pct"/>
            <w:vAlign w:val="center"/>
          </w:tcPr>
          <w:p>
            <w:pPr>
              <w:wordWrap w:val="0"/>
              <w:topLinePunct/>
              <w:jc w:val="center"/>
              <w:rPr>
                <w:rFonts w:ascii="仿宋" w:hAnsi="仿宋" w:eastAsia="仿宋" w:cs="仿宋"/>
                <w:kern w:val="0"/>
                <w:szCs w:val="21"/>
                <w:highlight w:val="none"/>
              </w:rPr>
            </w:pPr>
          </w:p>
        </w:tc>
        <w:tc>
          <w:tcPr>
            <w:tcW w:w="1353" w:type="pct"/>
            <w:vAlign w:val="center"/>
          </w:tcPr>
          <w:p>
            <w:pPr>
              <w:wordWrap w:val="0"/>
              <w:topLinePunct/>
              <w:jc w:val="center"/>
              <w:rPr>
                <w:rFonts w:ascii="仿宋" w:hAnsi="仿宋" w:eastAsia="仿宋" w:cs="仿宋"/>
                <w:kern w:val="0"/>
                <w:szCs w:val="21"/>
                <w:highlight w:val="none"/>
              </w:rPr>
            </w:pPr>
          </w:p>
        </w:tc>
        <w:tc>
          <w:tcPr>
            <w:tcW w:w="1115" w:type="pct"/>
            <w:vAlign w:val="center"/>
          </w:tcPr>
          <w:p>
            <w:pPr>
              <w:wordWrap w:val="0"/>
              <w:topLinePunct/>
              <w:jc w:val="center"/>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556" w:type="pct"/>
            <w:vAlign w:val="center"/>
          </w:tcPr>
          <w:p>
            <w:pPr>
              <w:wordWrap w:val="0"/>
              <w:topLinePunct/>
              <w:jc w:val="center"/>
              <w:rPr>
                <w:rFonts w:ascii="仿宋" w:hAnsi="仿宋" w:eastAsia="仿宋" w:cs="仿宋"/>
                <w:kern w:val="0"/>
                <w:szCs w:val="21"/>
                <w:highlight w:val="none"/>
              </w:rPr>
            </w:pPr>
          </w:p>
        </w:tc>
        <w:tc>
          <w:tcPr>
            <w:tcW w:w="973" w:type="pct"/>
            <w:vAlign w:val="center"/>
          </w:tcPr>
          <w:p>
            <w:pPr>
              <w:wordWrap w:val="0"/>
              <w:topLinePunct/>
              <w:jc w:val="center"/>
              <w:rPr>
                <w:rFonts w:ascii="仿宋" w:hAnsi="仿宋" w:eastAsia="仿宋" w:cs="仿宋"/>
                <w:kern w:val="0"/>
                <w:szCs w:val="21"/>
                <w:highlight w:val="none"/>
              </w:rPr>
            </w:pPr>
          </w:p>
        </w:tc>
        <w:tc>
          <w:tcPr>
            <w:tcW w:w="1353" w:type="pct"/>
            <w:vAlign w:val="center"/>
          </w:tcPr>
          <w:p>
            <w:pPr>
              <w:wordWrap w:val="0"/>
              <w:topLinePunct/>
              <w:jc w:val="center"/>
              <w:rPr>
                <w:rFonts w:ascii="仿宋" w:hAnsi="仿宋" w:eastAsia="仿宋" w:cs="仿宋"/>
                <w:kern w:val="0"/>
                <w:szCs w:val="21"/>
                <w:highlight w:val="none"/>
              </w:rPr>
            </w:pPr>
          </w:p>
        </w:tc>
        <w:tc>
          <w:tcPr>
            <w:tcW w:w="1115" w:type="pct"/>
            <w:vAlign w:val="center"/>
          </w:tcPr>
          <w:p>
            <w:pPr>
              <w:wordWrap w:val="0"/>
              <w:topLinePunct/>
              <w:jc w:val="center"/>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556" w:type="pct"/>
            <w:vAlign w:val="center"/>
          </w:tcPr>
          <w:p>
            <w:pPr>
              <w:wordWrap w:val="0"/>
              <w:topLinePunct/>
              <w:jc w:val="center"/>
              <w:rPr>
                <w:rFonts w:ascii="仿宋" w:hAnsi="仿宋" w:eastAsia="仿宋" w:cs="仿宋"/>
                <w:kern w:val="0"/>
                <w:szCs w:val="21"/>
                <w:highlight w:val="none"/>
              </w:rPr>
            </w:pPr>
            <w:r>
              <w:rPr>
                <w:rFonts w:hint="eastAsia" w:ascii="仿宋" w:hAnsi="仿宋" w:eastAsia="仿宋" w:cs="仿宋"/>
                <w:kern w:val="0"/>
                <w:szCs w:val="21"/>
                <w:highlight w:val="none"/>
              </w:rPr>
              <w:t>合计</w:t>
            </w:r>
          </w:p>
        </w:tc>
        <w:tc>
          <w:tcPr>
            <w:tcW w:w="3443" w:type="pct"/>
            <w:gridSpan w:val="3"/>
            <w:vAlign w:val="center"/>
          </w:tcPr>
          <w:p>
            <w:pPr>
              <w:wordWrap w:val="0"/>
              <w:topLinePunct/>
              <w:jc w:val="center"/>
              <w:rPr>
                <w:rFonts w:ascii="仿宋" w:hAnsi="仿宋" w:eastAsia="仿宋" w:cs="仿宋"/>
                <w:kern w:val="0"/>
                <w:szCs w:val="21"/>
                <w:highlight w:val="none"/>
              </w:rPr>
            </w:pPr>
          </w:p>
        </w:tc>
      </w:tr>
    </w:tbl>
    <w:p>
      <w:pPr>
        <w:wordWrap w:val="0"/>
        <w:topLinePunct/>
        <w:rPr>
          <w:rFonts w:ascii="仿宋" w:hAnsi="仿宋" w:eastAsia="仿宋" w:cs="仿宋"/>
          <w:b/>
          <w:kern w:val="0"/>
          <w:szCs w:val="21"/>
          <w:highlight w:val="none"/>
        </w:rPr>
      </w:pPr>
    </w:p>
    <w:p>
      <w:pPr>
        <w:wordWrap w:val="0"/>
        <w:topLinePunct/>
        <w:spacing w:line="360" w:lineRule="auto"/>
        <w:rPr>
          <w:rFonts w:ascii="仿宋" w:hAnsi="仿宋" w:eastAsia="仿宋" w:cs="仿宋"/>
          <w:kern w:val="0"/>
          <w:highlight w:val="none"/>
        </w:rPr>
      </w:pPr>
      <w:r>
        <w:rPr>
          <w:rFonts w:hint="eastAsia" w:ascii="仿宋" w:hAnsi="仿宋" w:eastAsia="仿宋" w:cs="仿宋"/>
          <w:kern w:val="0"/>
          <w:highlight w:val="none"/>
        </w:rPr>
        <w:t>投标人公章：</w:t>
      </w:r>
      <w:r>
        <w:rPr>
          <w:rFonts w:hint="eastAsia" w:ascii="仿宋" w:hAnsi="仿宋" w:eastAsia="仿宋" w:cs="仿宋"/>
          <w:kern w:val="0"/>
          <w:highlight w:val="none"/>
          <w:u w:val="single"/>
        </w:rPr>
        <w:t xml:space="preserve">                         </w:t>
      </w:r>
    </w:p>
    <w:p>
      <w:pPr>
        <w:wordWrap w:val="0"/>
        <w:topLinePunct/>
        <w:spacing w:line="360" w:lineRule="auto"/>
        <w:rPr>
          <w:rFonts w:ascii="仿宋" w:hAnsi="仿宋" w:eastAsia="仿宋" w:cs="仿宋"/>
          <w:kern w:val="0"/>
          <w:highlight w:val="none"/>
        </w:rPr>
      </w:pPr>
      <w:r>
        <w:rPr>
          <w:rFonts w:hint="eastAsia" w:ascii="仿宋" w:hAnsi="仿宋" w:eastAsia="仿宋" w:cs="仿宋"/>
          <w:kern w:val="0"/>
          <w:szCs w:val="21"/>
          <w:highlight w:val="none"/>
        </w:rPr>
        <w:t>法定代表人或授权代表（签字）：</w:t>
      </w:r>
      <w:r>
        <w:rPr>
          <w:rFonts w:hint="eastAsia" w:ascii="仿宋" w:hAnsi="仿宋" w:eastAsia="仿宋" w:cs="仿宋"/>
          <w:kern w:val="0"/>
          <w:highlight w:val="none"/>
          <w:u w:val="single"/>
        </w:rPr>
        <w:t xml:space="preserve">                          </w:t>
      </w:r>
    </w:p>
    <w:p>
      <w:pPr>
        <w:wordWrap w:val="0"/>
        <w:topLinePunct/>
        <w:spacing w:line="360" w:lineRule="auto"/>
        <w:rPr>
          <w:rFonts w:ascii="仿宋" w:hAnsi="仿宋" w:eastAsia="仿宋" w:cs="仿宋"/>
          <w:kern w:val="0"/>
          <w:highlight w:val="none"/>
        </w:rPr>
      </w:pPr>
      <w:r>
        <w:rPr>
          <w:rFonts w:hint="eastAsia" w:ascii="仿宋" w:hAnsi="仿宋" w:eastAsia="仿宋" w:cs="仿宋"/>
          <w:kern w:val="0"/>
          <w:highlight w:val="none"/>
        </w:rPr>
        <w:t>日期：</w:t>
      </w:r>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年</w:t>
      </w:r>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月</w:t>
      </w:r>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 xml:space="preserve">日        </w:t>
      </w:r>
    </w:p>
    <w:p>
      <w:pPr>
        <w:wordWrap w:val="0"/>
        <w:topLinePunct/>
        <w:rPr>
          <w:rFonts w:ascii="仿宋" w:hAnsi="仿宋" w:eastAsia="仿宋" w:cs="仿宋"/>
          <w:b/>
          <w:kern w:val="0"/>
          <w:szCs w:val="21"/>
          <w:highlight w:val="none"/>
        </w:rPr>
      </w:pPr>
    </w:p>
    <w:p>
      <w:pPr>
        <w:wordWrap w:val="0"/>
        <w:topLinePunct/>
        <w:rPr>
          <w:rFonts w:ascii="仿宋" w:hAnsi="仿宋" w:eastAsia="仿宋" w:cs="仿宋"/>
          <w:b/>
          <w:kern w:val="0"/>
          <w:szCs w:val="21"/>
          <w:highlight w:val="none"/>
        </w:rPr>
      </w:pPr>
      <w:r>
        <w:rPr>
          <w:rFonts w:hint="eastAsia" w:ascii="仿宋" w:hAnsi="仿宋" w:eastAsia="仿宋" w:cs="仿宋"/>
          <w:b/>
          <w:kern w:val="0"/>
          <w:szCs w:val="21"/>
          <w:highlight w:val="none"/>
        </w:rPr>
        <w:br w:type="page"/>
      </w:r>
    </w:p>
    <w:p>
      <w:pPr>
        <w:wordWrap w:val="0"/>
        <w:topLinePunct/>
        <w:spacing w:after="312" w:afterLines="100" w:line="360" w:lineRule="auto"/>
        <w:jc w:val="center"/>
        <w:rPr>
          <w:rFonts w:ascii="仿宋" w:hAnsi="仿宋" w:eastAsia="仿宋" w:cs="仿宋"/>
          <w:b/>
          <w:kern w:val="0"/>
          <w:szCs w:val="21"/>
          <w:highlight w:val="none"/>
        </w:rPr>
      </w:pPr>
      <w:r>
        <w:rPr>
          <w:rFonts w:hint="eastAsia" w:ascii="仿宋" w:hAnsi="仿宋" w:eastAsia="仿宋" w:cs="仿宋"/>
          <w:b/>
          <w:kern w:val="0"/>
          <w:szCs w:val="21"/>
          <w:highlight w:val="none"/>
        </w:rPr>
        <w:t>四、技术参数响应及偏离表</w:t>
      </w:r>
    </w:p>
    <w:p>
      <w:pPr>
        <w:wordWrap w:val="0"/>
        <w:topLinePunct/>
        <w:snapToGrid w:val="0"/>
        <w:spacing w:line="360" w:lineRule="auto"/>
        <w:rPr>
          <w:rFonts w:ascii="仿宋" w:hAnsi="仿宋" w:eastAsia="仿宋" w:cs="仿宋"/>
          <w:kern w:val="0"/>
          <w:szCs w:val="21"/>
          <w:highlight w:val="none"/>
        </w:rPr>
      </w:pPr>
      <w:r>
        <w:rPr>
          <w:rFonts w:hint="eastAsia" w:ascii="仿宋" w:hAnsi="仿宋" w:eastAsia="仿宋" w:cs="仿宋"/>
          <w:kern w:val="0"/>
          <w:szCs w:val="21"/>
          <w:highlight w:val="none"/>
        </w:rPr>
        <w:t>投标人名称（公章）：</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2650"/>
        <w:gridCol w:w="2650"/>
        <w:gridCol w:w="121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6" w:type="pct"/>
            <w:vAlign w:val="center"/>
          </w:tcPr>
          <w:p>
            <w:pPr>
              <w:wordWrap w:val="0"/>
              <w:topLinePunct/>
              <w:jc w:val="center"/>
              <w:rPr>
                <w:rFonts w:ascii="仿宋" w:hAnsi="仿宋" w:eastAsia="仿宋" w:cs="仿宋"/>
                <w:kern w:val="0"/>
                <w:szCs w:val="21"/>
                <w:highlight w:val="none"/>
              </w:rPr>
            </w:pPr>
            <w:r>
              <w:rPr>
                <w:rFonts w:hint="eastAsia" w:ascii="仿宋" w:hAnsi="仿宋" w:eastAsia="仿宋" w:cs="仿宋"/>
                <w:kern w:val="0"/>
                <w:szCs w:val="21"/>
                <w:highlight w:val="none"/>
              </w:rPr>
              <w:t>序号</w:t>
            </w:r>
          </w:p>
        </w:tc>
        <w:tc>
          <w:tcPr>
            <w:tcW w:w="1555" w:type="pct"/>
            <w:vAlign w:val="center"/>
          </w:tcPr>
          <w:p>
            <w:pPr>
              <w:wordWrap w:val="0"/>
              <w:topLinePunct/>
              <w:jc w:val="center"/>
              <w:rPr>
                <w:rFonts w:ascii="仿宋" w:hAnsi="仿宋" w:eastAsia="仿宋" w:cs="仿宋"/>
                <w:kern w:val="0"/>
                <w:szCs w:val="21"/>
                <w:highlight w:val="none"/>
              </w:rPr>
            </w:pPr>
            <w:r>
              <w:rPr>
                <w:rFonts w:hint="eastAsia" w:ascii="仿宋" w:hAnsi="仿宋" w:eastAsia="仿宋" w:cs="仿宋"/>
                <w:kern w:val="0"/>
                <w:szCs w:val="21"/>
                <w:highlight w:val="none"/>
              </w:rPr>
              <w:t>招标要求</w:t>
            </w:r>
          </w:p>
        </w:tc>
        <w:tc>
          <w:tcPr>
            <w:tcW w:w="1555" w:type="pct"/>
            <w:vAlign w:val="center"/>
          </w:tcPr>
          <w:p>
            <w:pPr>
              <w:wordWrap w:val="0"/>
              <w:topLinePunct/>
              <w:jc w:val="center"/>
              <w:rPr>
                <w:rFonts w:ascii="仿宋" w:hAnsi="仿宋" w:eastAsia="仿宋" w:cs="仿宋"/>
                <w:kern w:val="0"/>
                <w:szCs w:val="21"/>
                <w:highlight w:val="none"/>
              </w:rPr>
            </w:pPr>
            <w:r>
              <w:rPr>
                <w:rFonts w:hint="eastAsia" w:ascii="仿宋" w:hAnsi="仿宋" w:eastAsia="仿宋" w:cs="仿宋"/>
                <w:kern w:val="0"/>
                <w:szCs w:val="21"/>
                <w:highlight w:val="none"/>
              </w:rPr>
              <w:t>投标响应</w:t>
            </w:r>
          </w:p>
        </w:tc>
        <w:tc>
          <w:tcPr>
            <w:tcW w:w="713" w:type="pct"/>
            <w:vAlign w:val="center"/>
          </w:tcPr>
          <w:p>
            <w:pPr>
              <w:wordWrap w:val="0"/>
              <w:topLinePunct/>
              <w:jc w:val="center"/>
              <w:rPr>
                <w:rFonts w:ascii="仿宋" w:hAnsi="仿宋" w:eastAsia="仿宋" w:cs="仿宋"/>
                <w:kern w:val="0"/>
                <w:szCs w:val="21"/>
                <w:highlight w:val="none"/>
              </w:rPr>
            </w:pPr>
            <w:r>
              <w:rPr>
                <w:rFonts w:hint="eastAsia" w:ascii="仿宋" w:hAnsi="仿宋" w:eastAsia="仿宋" w:cs="仿宋"/>
                <w:kern w:val="0"/>
                <w:szCs w:val="21"/>
                <w:highlight w:val="none"/>
              </w:rPr>
              <w:t>超出、符合或偏离</w:t>
            </w:r>
          </w:p>
        </w:tc>
        <w:tc>
          <w:tcPr>
            <w:tcW w:w="639" w:type="pct"/>
            <w:vAlign w:val="center"/>
          </w:tcPr>
          <w:p>
            <w:pPr>
              <w:wordWrap w:val="0"/>
              <w:topLinePunct/>
              <w:jc w:val="center"/>
              <w:rPr>
                <w:rFonts w:ascii="仿宋" w:hAnsi="仿宋" w:eastAsia="仿宋" w:cs="仿宋"/>
                <w:kern w:val="0"/>
                <w:szCs w:val="21"/>
                <w:highlight w:val="none"/>
              </w:rPr>
            </w:pPr>
            <w:r>
              <w:rPr>
                <w:rFonts w:hint="eastAsia" w:ascii="仿宋" w:hAnsi="仿宋" w:eastAsia="仿宋" w:cs="仿宋"/>
                <w:kern w:val="0"/>
                <w:szCs w:val="21"/>
                <w:highlight w:val="none"/>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36" w:type="pct"/>
            <w:vAlign w:val="center"/>
          </w:tcPr>
          <w:p>
            <w:pPr>
              <w:wordWrap w:val="0"/>
              <w:topLinePunct/>
              <w:jc w:val="center"/>
              <w:rPr>
                <w:rFonts w:ascii="仿宋" w:hAnsi="仿宋" w:eastAsia="仿宋" w:cs="仿宋"/>
                <w:kern w:val="0"/>
                <w:szCs w:val="21"/>
                <w:highlight w:val="none"/>
              </w:rPr>
            </w:pPr>
          </w:p>
        </w:tc>
        <w:tc>
          <w:tcPr>
            <w:tcW w:w="1555" w:type="pct"/>
            <w:vAlign w:val="center"/>
          </w:tcPr>
          <w:p>
            <w:pPr>
              <w:wordWrap w:val="0"/>
              <w:topLinePunct/>
              <w:jc w:val="center"/>
              <w:rPr>
                <w:rFonts w:ascii="仿宋" w:hAnsi="仿宋" w:eastAsia="仿宋" w:cs="仿宋"/>
                <w:kern w:val="0"/>
                <w:szCs w:val="21"/>
                <w:highlight w:val="none"/>
              </w:rPr>
            </w:pPr>
          </w:p>
        </w:tc>
        <w:tc>
          <w:tcPr>
            <w:tcW w:w="1555" w:type="pct"/>
            <w:vAlign w:val="center"/>
          </w:tcPr>
          <w:p>
            <w:pPr>
              <w:wordWrap w:val="0"/>
              <w:topLinePunct/>
              <w:jc w:val="center"/>
              <w:rPr>
                <w:rFonts w:ascii="仿宋" w:hAnsi="仿宋" w:eastAsia="仿宋" w:cs="仿宋"/>
                <w:kern w:val="0"/>
                <w:szCs w:val="21"/>
                <w:highlight w:val="none"/>
              </w:rPr>
            </w:pPr>
          </w:p>
        </w:tc>
        <w:tc>
          <w:tcPr>
            <w:tcW w:w="713" w:type="pct"/>
            <w:vAlign w:val="center"/>
          </w:tcPr>
          <w:p>
            <w:pPr>
              <w:wordWrap w:val="0"/>
              <w:topLinePunct/>
              <w:jc w:val="center"/>
              <w:rPr>
                <w:rFonts w:ascii="仿宋" w:hAnsi="仿宋" w:eastAsia="仿宋" w:cs="仿宋"/>
                <w:kern w:val="0"/>
                <w:szCs w:val="21"/>
                <w:highlight w:val="none"/>
              </w:rPr>
            </w:pPr>
          </w:p>
        </w:tc>
        <w:tc>
          <w:tcPr>
            <w:tcW w:w="639" w:type="pct"/>
            <w:vAlign w:val="center"/>
          </w:tcPr>
          <w:p>
            <w:pPr>
              <w:wordWrap w:val="0"/>
              <w:topLinePunct/>
              <w:jc w:val="center"/>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36" w:type="pct"/>
            <w:vAlign w:val="center"/>
          </w:tcPr>
          <w:p>
            <w:pPr>
              <w:wordWrap w:val="0"/>
              <w:topLinePunct/>
              <w:jc w:val="center"/>
              <w:rPr>
                <w:rFonts w:ascii="仿宋" w:hAnsi="仿宋" w:eastAsia="仿宋" w:cs="仿宋"/>
                <w:kern w:val="0"/>
                <w:szCs w:val="21"/>
                <w:highlight w:val="none"/>
              </w:rPr>
            </w:pPr>
          </w:p>
        </w:tc>
        <w:tc>
          <w:tcPr>
            <w:tcW w:w="1555" w:type="pct"/>
            <w:vAlign w:val="center"/>
          </w:tcPr>
          <w:p>
            <w:pPr>
              <w:wordWrap w:val="0"/>
              <w:topLinePunct/>
              <w:jc w:val="center"/>
              <w:rPr>
                <w:rFonts w:ascii="仿宋" w:hAnsi="仿宋" w:eastAsia="仿宋" w:cs="仿宋"/>
                <w:kern w:val="0"/>
                <w:szCs w:val="21"/>
                <w:highlight w:val="none"/>
              </w:rPr>
            </w:pPr>
          </w:p>
        </w:tc>
        <w:tc>
          <w:tcPr>
            <w:tcW w:w="1555" w:type="pct"/>
            <w:vAlign w:val="center"/>
          </w:tcPr>
          <w:p>
            <w:pPr>
              <w:wordWrap w:val="0"/>
              <w:topLinePunct/>
              <w:jc w:val="center"/>
              <w:rPr>
                <w:rFonts w:ascii="仿宋" w:hAnsi="仿宋" w:eastAsia="仿宋" w:cs="仿宋"/>
                <w:kern w:val="0"/>
                <w:szCs w:val="21"/>
                <w:highlight w:val="none"/>
              </w:rPr>
            </w:pPr>
          </w:p>
        </w:tc>
        <w:tc>
          <w:tcPr>
            <w:tcW w:w="713" w:type="pct"/>
            <w:vAlign w:val="center"/>
          </w:tcPr>
          <w:p>
            <w:pPr>
              <w:wordWrap w:val="0"/>
              <w:topLinePunct/>
              <w:jc w:val="center"/>
              <w:rPr>
                <w:rFonts w:ascii="仿宋" w:hAnsi="仿宋" w:eastAsia="仿宋" w:cs="仿宋"/>
                <w:kern w:val="0"/>
                <w:szCs w:val="21"/>
                <w:highlight w:val="none"/>
              </w:rPr>
            </w:pPr>
          </w:p>
        </w:tc>
        <w:tc>
          <w:tcPr>
            <w:tcW w:w="639" w:type="pct"/>
            <w:vAlign w:val="center"/>
          </w:tcPr>
          <w:p>
            <w:pPr>
              <w:wordWrap w:val="0"/>
              <w:topLinePunct/>
              <w:jc w:val="center"/>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36" w:type="pct"/>
            <w:vAlign w:val="center"/>
          </w:tcPr>
          <w:p>
            <w:pPr>
              <w:wordWrap w:val="0"/>
              <w:topLinePunct/>
              <w:jc w:val="center"/>
              <w:rPr>
                <w:rFonts w:ascii="仿宋" w:hAnsi="仿宋" w:eastAsia="仿宋" w:cs="仿宋"/>
                <w:kern w:val="0"/>
                <w:szCs w:val="21"/>
                <w:highlight w:val="none"/>
              </w:rPr>
            </w:pPr>
          </w:p>
        </w:tc>
        <w:tc>
          <w:tcPr>
            <w:tcW w:w="1555" w:type="pct"/>
            <w:vAlign w:val="center"/>
          </w:tcPr>
          <w:p>
            <w:pPr>
              <w:wordWrap w:val="0"/>
              <w:topLinePunct/>
              <w:jc w:val="center"/>
              <w:rPr>
                <w:rFonts w:ascii="仿宋" w:hAnsi="仿宋" w:eastAsia="仿宋" w:cs="仿宋"/>
                <w:kern w:val="0"/>
                <w:szCs w:val="21"/>
                <w:highlight w:val="none"/>
              </w:rPr>
            </w:pPr>
          </w:p>
        </w:tc>
        <w:tc>
          <w:tcPr>
            <w:tcW w:w="1555" w:type="pct"/>
            <w:vAlign w:val="center"/>
          </w:tcPr>
          <w:p>
            <w:pPr>
              <w:wordWrap w:val="0"/>
              <w:topLinePunct/>
              <w:jc w:val="center"/>
              <w:rPr>
                <w:rFonts w:ascii="仿宋" w:hAnsi="仿宋" w:eastAsia="仿宋" w:cs="仿宋"/>
                <w:kern w:val="0"/>
                <w:szCs w:val="21"/>
                <w:highlight w:val="none"/>
              </w:rPr>
            </w:pPr>
          </w:p>
        </w:tc>
        <w:tc>
          <w:tcPr>
            <w:tcW w:w="713" w:type="pct"/>
            <w:vAlign w:val="center"/>
          </w:tcPr>
          <w:p>
            <w:pPr>
              <w:wordWrap w:val="0"/>
              <w:topLinePunct/>
              <w:jc w:val="center"/>
              <w:rPr>
                <w:rFonts w:ascii="仿宋" w:hAnsi="仿宋" w:eastAsia="仿宋" w:cs="仿宋"/>
                <w:kern w:val="0"/>
                <w:szCs w:val="21"/>
                <w:highlight w:val="none"/>
              </w:rPr>
            </w:pPr>
          </w:p>
        </w:tc>
        <w:tc>
          <w:tcPr>
            <w:tcW w:w="639" w:type="pct"/>
            <w:vAlign w:val="center"/>
          </w:tcPr>
          <w:p>
            <w:pPr>
              <w:wordWrap w:val="0"/>
              <w:topLinePunct/>
              <w:jc w:val="center"/>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36" w:type="pct"/>
            <w:vAlign w:val="center"/>
          </w:tcPr>
          <w:p>
            <w:pPr>
              <w:wordWrap w:val="0"/>
              <w:topLinePunct/>
              <w:jc w:val="center"/>
              <w:rPr>
                <w:rFonts w:ascii="仿宋" w:hAnsi="仿宋" w:eastAsia="仿宋" w:cs="仿宋"/>
                <w:kern w:val="0"/>
                <w:szCs w:val="21"/>
                <w:highlight w:val="none"/>
              </w:rPr>
            </w:pPr>
          </w:p>
        </w:tc>
        <w:tc>
          <w:tcPr>
            <w:tcW w:w="1555" w:type="pct"/>
            <w:vAlign w:val="center"/>
          </w:tcPr>
          <w:p>
            <w:pPr>
              <w:wordWrap w:val="0"/>
              <w:topLinePunct/>
              <w:jc w:val="center"/>
              <w:rPr>
                <w:rFonts w:ascii="仿宋" w:hAnsi="仿宋" w:eastAsia="仿宋" w:cs="仿宋"/>
                <w:kern w:val="0"/>
                <w:szCs w:val="21"/>
                <w:highlight w:val="none"/>
              </w:rPr>
            </w:pPr>
          </w:p>
        </w:tc>
        <w:tc>
          <w:tcPr>
            <w:tcW w:w="1555" w:type="pct"/>
            <w:vAlign w:val="center"/>
          </w:tcPr>
          <w:p>
            <w:pPr>
              <w:wordWrap w:val="0"/>
              <w:topLinePunct/>
              <w:jc w:val="center"/>
              <w:rPr>
                <w:rFonts w:ascii="仿宋" w:hAnsi="仿宋" w:eastAsia="仿宋" w:cs="仿宋"/>
                <w:kern w:val="0"/>
                <w:szCs w:val="21"/>
                <w:highlight w:val="none"/>
              </w:rPr>
            </w:pPr>
          </w:p>
        </w:tc>
        <w:tc>
          <w:tcPr>
            <w:tcW w:w="713" w:type="pct"/>
            <w:vAlign w:val="center"/>
          </w:tcPr>
          <w:p>
            <w:pPr>
              <w:wordWrap w:val="0"/>
              <w:topLinePunct/>
              <w:jc w:val="center"/>
              <w:rPr>
                <w:rFonts w:ascii="仿宋" w:hAnsi="仿宋" w:eastAsia="仿宋" w:cs="仿宋"/>
                <w:kern w:val="0"/>
                <w:szCs w:val="21"/>
                <w:highlight w:val="none"/>
              </w:rPr>
            </w:pPr>
          </w:p>
        </w:tc>
        <w:tc>
          <w:tcPr>
            <w:tcW w:w="639" w:type="pct"/>
            <w:vAlign w:val="center"/>
          </w:tcPr>
          <w:p>
            <w:pPr>
              <w:wordWrap w:val="0"/>
              <w:topLinePunct/>
              <w:jc w:val="center"/>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36" w:type="pct"/>
            <w:vAlign w:val="center"/>
          </w:tcPr>
          <w:p>
            <w:pPr>
              <w:wordWrap w:val="0"/>
              <w:topLinePunct/>
              <w:jc w:val="center"/>
              <w:rPr>
                <w:rFonts w:ascii="仿宋" w:hAnsi="仿宋" w:eastAsia="仿宋" w:cs="仿宋"/>
                <w:kern w:val="0"/>
                <w:szCs w:val="21"/>
                <w:highlight w:val="none"/>
              </w:rPr>
            </w:pPr>
          </w:p>
        </w:tc>
        <w:tc>
          <w:tcPr>
            <w:tcW w:w="1555" w:type="pct"/>
            <w:vAlign w:val="center"/>
          </w:tcPr>
          <w:p>
            <w:pPr>
              <w:wordWrap w:val="0"/>
              <w:topLinePunct/>
              <w:jc w:val="center"/>
              <w:rPr>
                <w:rFonts w:ascii="仿宋" w:hAnsi="仿宋" w:eastAsia="仿宋" w:cs="仿宋"/>
                <w:kern w:val="0"/>
                <w:szCs w:val="21"/>
                <w:highlight w:val="none"/>
              </w:rPr>
            </w:pPr>
          </w:p>
        </w:tc>
        <w:tc>
          <w:tcPr>
            <w:tcW w:w="1555" w:type="pct"/>
            <w:vAlign w:val="center"/>
          </w:tcPr>
          <w:p>
            <w:pPr>
              <w:wordWrap w:val="0"/>
              <w:topLinePunct/>
              <w:jc w:val="center"/>
              <w:rPr>
                <w:rFonts w:ascii="仿宋" w:hAnsi="仿宋" w:eastAsia="仿宋" w:cs="仿宋"/>
                <w:kern w:val="0"/>
                <w:szCs w:val="21"/>
                <w:highlight w:val="none"/>
              </w:rPr>
            </w:pPr>
          </w:p>
        </w:tc>
        <w:tc>
          <w:tcPr>
            <w:tcW w:w="713" w:type="pct"/>
            <w:vAlign w:val="center"/>
          </w:tcPr>
          <w:p>
            <w:pPr>
              <w:wordWrap w:val="0"/>
              <w:topLinePunct/>
              <w:jc w:val="center"/>
              <w:rPr>
                <w:rFonts w:ascii="仿宋" w:hAnsi="仿宋" w:eastAsia="仿宋" w:cs="仿宋"/>
                <w:kern w:val="0"/>
                <w:szCs w:val="21"/>
                <w:highlight w:val="none"/>
              </w:rPr>
            </w:pPr>
          </w:p>
        </w:tc>
        <w:tc>
          <w:tcPr>
            <w:tcW w:w="639" w:type="pct"/>
            <w:vAlign w:val="center"/>
          </w:tcPr>
          <w:p>
            <w:pPr>
              <w:wordWrap w:val="0"/>
              <w:topLinePunct/>
              <w:jc w:val="center"/>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36" w:type="pct"/>
            <w:vAlign w:val="center"/>
          </w:tcPr>
          <w:p>
            <w:pPr>
              <w:wordWrap w:val="0"/>
              <w:topLinePunct/>
              <w:jc w:val="center"/>
              <w:rPr>
                <w:rFonts w:ascii="仿宋" w:hAnsi="仿宋" w:eastAsia="仿宋" w:cs="仿宋"/>
                <w:kern w:val="0"/>
                <w:szCs w:val="21"/>
                <w:highlight w:val="none"/>
              </w:rPr>
            </w:pPr>
          </w:p>
        </w:tc>
        <w:tc>
          <w:tcPr>
            <w:tcW w:w="1555" w:type="pct"/>
            <w:vAlign w:val="center"/>
          </w:tcPr>
          <w:p>
            <w:pPr>
              <w:wordWrap w:val="0"/>
              <w:topLinePunct/>
              <w:jc w:val="center"/>
              <w:rPr>
                <w:rFonts w:ascii="仿宋" w:hAnsi="仿宋" w:eastAsia="仿宋" w:cs="仿宋"/>
                <w:kern w:val="0"/>
                <w:szCs w:val="21"/>
                <w:highlight w:val="none"/>
              </w:rPr>
            </w:pPr>
          </w:p>
        </w:tc>
        <w:tc>
          <w:tcPr>
            <w:tcW w:w="1555" w:type="pct"/>
            <w:vAlign w:val="center"/>
          </w:tcPr>
          <w:p>
            <w:pPr>
              <w:wordWrap w:val="0"/>
              <w:topLinePunct/>
              <w:jc w:val="center"/>
              <w:rPr>
                <w:rFonts w:ascii="仿宋" w:hAnsi="仿宋" w:eastAsia="仿宋" w:cs="仿宋"/>
                <w:kern w:val="0"/>
                <w:szCs w:val="21"/>
                <w:highlight w:val="none"/>
              </w:rPr>
            </w:pPr>
          </w:p>
        </w:tc>
        <w:tc>
          <w:tcPr>
            <w:tcW w:w="713" w:type="pct"/>
            <w:vAlign w:val="center"/>
          </w:tcPr>
          <w:p>
            <w:pPr>
              <w:wordWrap w:val="0"/>
              <w:topLinePunct/>
              <w:jc w:val="center"/>
              <w:rPr>
                <w:rFonts w:ascii="仿宋" w:hAnsi="仿宋" w:eastAsia="仿宋" w:cs="仿宋"/>
                <w:kern w:val="0"/>
                <w:szCs w:val="21"/>
                <w:highlight w:val="none"/>
              </w:rPr>
            </w:pPr>
          </w:p>
        </w:tc>
        <w:tc>
          <w:tcPr>
            <w:tcW w:w="639" w:type="pct"/>
            <w:vAlign w:val="center"/>
          </w:tcPr>
          <w:p>
            <w:pPr>
              <w:wordWrap w:val="0"/>
              <w:topLinePunct/>
              <w:jc w:val="center"/>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36" w:type="pct"/>
            <w:vAlign w:val="center"/>
          </w:tcPr>
          <w:p>
            <w:pPr>
              <w:wordWrap w:val="0"/>
              <w:topLinePunct/>
              <w:jc w:val="center"/>
              <w:rPr>
                <w:rFonts w:ascii="仿宋" w:hAnsi="仿宋" w:eastAsia="仿宋" w:cs="仿宋"/>
                <w:kern w:val="0"/>
                <w:szCs w:val="21"/>
                <w:highlight w:val="none"/>
              </w:rPr>
            </w:pPr>
          </w:p>
        </w:tc>
        <w:tc>
          <w:tcPr>
            <w:tcW w:w="1555" w:type="pct"/>
            <w:vAlign w:val="center"/>
          </w:tcPr>
          <w:p>
            <w:pPr>
              <w:wordWrap w:val="0"/>
              <w:topLinePunct/>
              <w:jc w:val="center"/>
              <w:rPr>
                <w:rFonts w:ascii="仿宋" w:hAnsi="仿宋" w:eastAsia="仿宋" w:cs="仿宋"/>
                <w:kern w:val="0"/>
                <w:szCs w:val="21"/>
                <w:highlight w:val="none"/>
              </w:rPr>
            </w:pPr>
          </w:p>
        </w:tc>
        <w:tc>
          <w:tcPr>
            <w:tcW w:w="1555" w:type="pct"/>
            <w:vAlign w:val="center"/>
          </w:tcPr>
          <w:p>
            <w:pPr>
              <w:wordWrap w:val="0"/>
              <w:topLinePunct/>
              <w:jc w:val="center"/>
              <w:rPr>
                <w:rFonts w:ascii="仿宋" w:hAnsi="仿宋" w:eastAsia="仿宋" w:cs="仿宋"/>
                <w:kern w:val="0"/>
                <w:szCs w:val="21"/>
                <w:highlight w:val="none"/>
              </w:rPr>
            </w:pPr>
          </w:p>
        </w:tc>
        <w:tc>
          <w:tcPr>
            <w:tcW w:w="713" w:type="pct"/>
            <w:vAlign w:val="center"/>
          </w:tcPr>
          <w:p>
            <w:pPr>
              <w:wordWrap w:val="0"/>
              <w:topLinePunct/>
              <w:jc w:val="center"/>
              <w:rPr>
                <w:rFonts w:ascii="仿宋" w:hAnsi="仿宋" w:eastAsia="仿宋" w:cs="仿宋"/>
                <w:kern w:val="0"/>
                <w:szCs w:val="21"/>
                <w:highlight w:val="none"/>
              </w:rPr>
            </w:pPr>
          </w:p>
        </w:tc>
        <w:tc>
          <w:tcPr>
            <w:tcW w:w="639" w:type="pct"/>
            <w:vAlign w:val="center"/>
          </w:tcPr>
          <w:p>
            <w:pPr>
              <w:wordWrap w:val="0"/>
              <w:topLinePunct/>
              <w:jc w:val="center"/>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36" w:type="pct"/>
            <w:vAlign w:val="center"/>
          </w:tcPr>
          <w:p>
            <w:pPr>
              <w:wordWrap w:val="0"/>
              <w:topLinePunct/>
              <w:jc w:val="center"/>
              <w:rPr>
                <w:rFonts w:ascii="仿宋" w:hAnsi="仿宋" w:eastAsia="仿宋" w:cs="仿宋"/>
                <w:kern w:val="0"/>
                <w:szCs w:val="21"/>
                <w:highlight w:val="none"/>
              </w:rPr>
            </w:pPr>
          </w:p>
        </w:tc>
        <w:tc>
          <w:tcPr>
            <w:tcW w:w="1555" w:type="pct"/>
            <w:vAlign w:val="center"/>
          </w:tcPr>
          <w:p>
            <w:pPr>
              <w:wordWrap w:val="0"/>
              <w:topLinePunct/>
              <w:jc w:val="center"/>
              <w:rPr>
                <w:rFonts w:ascii="仿宋" w:hAnsi="仿宋" w:eastAsia="仿宋" w:cs="仿宋"/>
                <w:kern w:val="0"/>
                <w:szCs w:val="21"/>
                <w:highlight w:val="none"/>
              </w:rPr>
            </w:pPr>
          </w:p>
        </w:tc>
        <w:tc>
          <w:tcPr>
            <w:tcW w:w="1555" w:type="pct"/>
            <w:vAlign w:val="center"/>
          </w:tcPr>
          <w:p>
            <w:pPr>
              <w:wordWrap w:val="0"/>
              <w:topLinePunct/>
              <w:jc w:val="center"/>
              <w:rPr>
                <w:rFonts w:ascii="仿宋" w:hAnsi="仿宋" w:eastAsia="仿宋" w:cs="仿宋"/>
                <w:kern w:val="0"/>
                <w:szCs w:val="21"/>
                <w:highlight w:val="none"/>
              </w:rPr>
            </w:pPr>
          </w:p>
        </w:tc>
        <w:tc>
          <w:tcPr>
            <w:tcW w:w="713" w:type="pct"/>
            <w:vAlign w:val="center"/>
          </w:tcPr>
          <w:p>
            <w:pPr>
              <w:wordWrap w:val="0"/>
              <w:topLinePunct/>
              <w:jc w:val="center"/>
              <w:rPr>
                <w:rFonts w:ascii="仿宋" w:hAnsi="仿宋" w:eastAsia="仿宋" w:cs="仿宋"/>
                <w:kern w:val="0"/>
                <w:szCs w:val="21"/>
                <w:highlight w:val="none"/>
              </w:rPr>
            </w:pPr>
          </w:p>
        </w:tc>
        <w:tc>
          <w:tcPr>
            <w:tcW w:w="639" w:type="pct"/>
            <w:vAlign w:val="center"/>
          </w:tcPr>
          <w:p>
            <w:pPr>
              <w:wordWrap w:val="0"/>
              <w:topLinePunct/>
              <w:jc w:val="center"/>
              <w:rPr>
                <w:rFonts w:ascii="仿宋" w:hAnsi="仿宋" w:eastAsia="仿宋" w:cs="仿宋"/>
                <w:kern w:val="0"/>
                <w:szCs w:val="21"/>
                <w:highlight w:val="none"/>
              </w:rPr>
            </w:pPr>
          </w:p>
        </w:tc>
      </w:tr>
    </w:tbl>
    <w:p>
      <w:pPr>
        <w:wordWrap w:val="0"/>
        <w:topLinePunct/>
        <w:rPr>
          <w:rFonts w:ascii="仿宋" w:hAnsi="仿宋" w:eastAsia="仿宋" w:cs="仿宋"/>
          <w:kern w:val="0"/>
          <w:szCs w:val="21"/>
          <w:highlight w:val="none"/>
        </w:rPr>
      </w:pPr>
    </w:p>
    <w:p>
      <w:pPr>
        <w:wordWrap w:val="0"/>
        <w:topLinePunct/>
        <w:rPr>
          <w:rFonts w:ascii="仿宋" w:hAnsi="仿宋" w:eastAsia="仿宋" w:cs="仿宋"/>
          <w:kern w:val="0"/>
          <w:szCs w:val="21"/>
          <w:highlight w:val="none"/>
        </w:rPr>
      </w:pPr>
      <w:r>
        <w:rPr>
          <w:rFonts w:hint="eastAsia" w:ascii="仿宋" w:hAnsi="仿宋" w:eastAsia="仿宋" w:cs="仿宋"/>
          <w:kern w:val="0"/>
          <w:szCs w:val="21"/>
          <w:highlight w:val="none"/>
        </w:rPr>
        <w:t>法定代表人或授权代表（签字）：</w:t>
      </w:r>
    </w:p>
    <w:p>
      <w:pPr>
        <w:wordWrap w:val="0"/>
        <w:topLinePunct/>
        <w:rPr>
          <w:rFonts w:ascii="仿宋" w:hAnsi="仿宋" w:eastAsia="仿宋" w:cs="仿宋"/>
          <w:kern w:val="0"/>
          <w:szCs w:val="21"/>
          <w:highlight w:val="none"/>
        </w:rPr>
      </w:pPr>
    </w:p>
    <w:p>
      <w:pPr>
        <w:wordWrap w:val="0"/>
        <w:topLinePunct/>
        <w:rPr>
          <w:rFonts w:ascii="仿宋" w:hAnsi="仿宋" w:eastAsia="仿宋" w:cs="仿宋"/>
          <w:b/>
          <w:bCs/>
          <w:kern w:val="0"/>
          <w:szCs w:val="21"/>
          <w:highlight w:val="none"/>
        </w:rPr>
      </w:pPr>
    </w:p>
    <w:p>
      <w:pPr>
        <w:wordWrap w:val="0"/>
        <w:topLinePunct/>
        <w:rPr>
          <w:rFonts w:ascii="仿宋" w:hAnsi="仿宋" w:eastAsia="仿宋" w:cs="仿宋"/>
          <w:b/>
          <w:bCs/>
          <w:kern w:val="0"/>
          <w:szCs w:val="21"/>
          <w:highlight w:val="none"/>
        </w:rPr>
      </w:pPr>
      <w:r>
        <w:rPr>
          <w:rFonts w:hint="eastAsia" w:ascii="仿宋" w:hAnsi="仿宋" w:eastAsia="仿宋" w:cs="仿宋"/>
          <w:b/>
          <w:bCs/>
          <w:kern w:val="0"/>
          <w:szCs w:val="21"/>
          <w:highlight w:val="none"/>
        </w:rPr>
        <w:t>注：1、按照项目需求详细填列。</w:t>
      </w:r>
    </w:p>
    <w:p>
      <w:pPr>
        <w:wordWrap w:val="0"/>
        <w:topLinePunct/>
        <w:ind w:firstLine="422" w:firstLineChars="200"/>
        <w:rPr>
          <w:rFonts w:ascii="仿宋" w:hAnsi="仿宋" w:eastAsia="仿宋" w:cs="仿宋"/>
          <w:b/>
          <w:bCs/>
          <w:kern w:val="0"/>
          <w:szCs w:val="21"/>
          <w:highlight w:val="none"/>
        </w:rPr>
      </w:pPr>
      <w:r>
        <w:rPr>
          <w:rFonts w:hint="eastAsia" w:ascii="仿宋" w:hAnsi="仿宋" w:eastAsia="仿宋" w:cs="仿宋"/>
          <w:b/>
          <w:bCs/>
          <w:kern w:val="0"/>
          <w:szCs w:val="21"/>
          <w:highlight w:val="none"/>
        </w:rPr>
        <w:t>2、行数不够，可自行添加。</w:t>
      </w:r>
    </w:p>
    <w:p>
      <w:pPr>
        <w:wordWrap w:val="0"/>
        <w:topLinePunct/>
        <w:spacing w:after="312" w:afterLines="100" w:line="360" w:lineRule="auto"/>
        <w:jc w:val="center"/>
        <w:rPr>
          <w:rFonts w:ascii="仿宋" w:hAnsi="仿宋" w:eastAsia="仿宋" w:cs="仿宋"/>
          <w:b/>
          <w:kern w:val="0"/>
          <w:szCs w:val="21"/>
          <w:highlight w:val="none"/>
        </w:rPr>
      </w:pPr>
      <w:r>
        <w:rPr>
          <w:rFonts w:hint="eastAsia" w:ascii="仿宋" w:hAnsi="仿宋" w:eastAsia="仿宋" w:cs="仿宋"/>
          <w:b/>
          <w:kern w:val="0"/>
          <w:sz w:val="32"/>
          <w:szCs w:val="32"/>
          <w:highlight w:val="none"/>
        </w:rPr>
        <w:br w:type="page"/>
      </w:r>
      <w:r>
        <w:rPr>
          <w:rFonts w:hint="eastAsia" w:ascii="仿宋" w:hAnsi="仿宋" w:eastAsia="仿宋" w:cs="仿宋"/>
          <w:b/>
          <w:kern w:val="0"/>
          <w:szCs w:val="21"/>
          <w:highlight w:val="none"/>
        </w:rPr>
        <w:t>五、商务条款响应及偏离表</w:t>
      </w:r>
    </w:p>
    <w:p>
      <w:pPr>
        <w:wordWrap w:val="0"/>
        <w:topLinePunct/>
        <w:snapToGrid w:val="0"/>
        <w:spacing w:line="360" w:lineRule="auto"/>
        <w:rPr>
          <w:rFonts w:ascii="仿宋" w:hAnsi="仿宋" w:eastAsia="仿宋" w:cs="仿宋"/>
          <w:kern w:val="0"/>
          <w:szCs w:val="21"/>
          <w:highlight w:val="none"/>
        </w:rPr>
      </w:pPr>
      <w:r>
        <w:rPr>
          <w:rFonts w:hint="eastAsia" w:ascii="仿宋" w:hAnsi="仿宋" w:eastAsia="仿宋" w:cs="仿宋"/>
          <w:kern w:val="0"/>
          <w:szCs w:val="21"/>
          <w:highlight w:val="none"/>
        </w:rPr>
        <w:t>投标人名称（公章）：</w:t>
      </w:r>
    </w:p>
    <w:tbl>
      <w:tblPr>
        <w:tblStyle w:val="26"/>
        <w:tblW w:w="895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9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638"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jc w:val="center"/>
              <w:rPr>
                <w:rFonts w:ascii="仿宋" w:hAnsi="仿宋" w:eastAsia="仿宋" w:cs="仿宋"/>
                <w:kern w:val="0"/>
                <w:szCs w:val="21"/>
                <w:highlight w:val="none"/>
              </w:rPr>
            </w:pPr>
            <w:r>
              <w:rPr>
                <w:rFonts w:hint="eastAsia" w:ascii="仿宋" w:hAnsi="仿宋" w:eastAsia="仿宋" w:cs="仿宋"/>
                <w:kern w:val="0"/>
                <w:szCs w:val="21"/>
                <w:highlight w:val="none"/>
              </w:rPr>
              <w:t>项目</w:t>
            </w:r>
          </w:p>
        </w:tc>
        <w:tc>
          <w:tcPr>
            <w:tcW w:w="2502"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jc w:val="center"/>
              <w:rPr>
                <w:rFonts w:ascii="仿宋" w:hAnsi="仿宋" w:eastAsia="仿宋" w:cs="仿宋"/>
                <w:kern w:val="0"/>
                <w:szCs w:val="21"/>
                <w:highlight w:val="none"/>
              </w:rPr>
            </w:pPr>
            <w:r>
              <w:rPr>
                <w:rFonts w:hint="eastAsia" w:ascii="仿宋" w:hAnsi="仿宋" w:eastAsia="仿宋" w:cs="仿宋"/>
                <w:kern w:val="0"/>
                <w:szCs w:val="21"/>
                <w:highlight w:val="none"/>
              </w:rPr>
              <w:t>招标文件要求</w:t>
            </w:r>
          </w:p>
        </w:tc>
        <w:tc>
          <w:tcPr>
            <w:tcW w:w="1837"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jc w:val="center"/>
              <w:rPr>
                <w:rFonts w:ascii="仿宋" w:hAnsi="仿宋" w:eastAsia="仿宋" w:cs="仿宋"/>
                <w:kern w:val="0"/>
                <w:szCs w:val="21"/>
                <w:highlight w:val="none"/>
              </w:rPr>
            </w:pPr>
            <w:r>
              <w:rPr>
                <w:rFonts w:hint="eastAsia" w:ascii="仿宋" w:hAnsi="仿宋" w:eastAsia="仿宋" w:cs="仿宋"/>
                <w:kern w:val="0"/>
                <w:szCs w:val="21"/>
                <w:highlight w:val="none"/>
              </w:rPr>
              <w:t>是否响应</w:t>
            </w:r>
          </w:p>
        </w:tc>
        <w:tc>
          <w:tcPr>
            <w:tcW w:w="2982"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jc w:val="center"/>
              <w:rPr>
                <w:rFonts w:ascii="仿宋" w:hAnsi="仿宋" w:eastAsia="仿宋" w:cs="仿宋"/>
                <w:kern w:val="0"/>
                <w:szCs w:val="21"/>
                <w:highlight w:val="none"/>
              </w:rPr>
            </w:pPr>
            <w:r>
              <w:rPr>
                <w:rFonts w:hint="eastAsia" w:ascii="仿宋" w:hAnsi="仿宋" w:eastAsia="仿宋" w:cs="仿宋"/>
                <w:kern w:val="0"/>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638"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jc w:val="center"/>
              <w:rPr>
                <w:rFonts w:ascii="仿宋" w:hAnsi="仿宋" w:eastAsia="仿宋" w:cs="仿宋"/>
                <w:kern w:val="0"/>
                <w:szCs w:val="21"/>
                <w:highlight w:val="none"/>
              </w:rPr>
            </w:pPr>
            <w:r>
              <w:rPr>
                <w:rFonts w:hint="eastAsia" w:ascii="仿宋" w:hAnsi="仿宋" w:eastAsia="仿宋" w:cs="仿宋"/>
                <w:kern w:val="0"/>
                <w:szCs w:val="21"/>
                <w:highlight w:val="none"/>
              </w:rPr>
              <w:t>交付时间</w:t>
            </w:r>
          </w:p>
        </w:tc>
        <w:tc>
          <w:tcPr>
            <w:tcW w:w="2502"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jc w:val="center"/>
              <w:rPr>
                <w:rFonts w:ascii="仿宋" w:hAnsi="仿宋" w:eastAsia="仿宋" w:cs="仿宋"/>
                <w:kern w:val="0"/>
                <w:szCs w:val="21"/>
                <w:highlight w:val="none"/>
              </w:rPr>
            </w:pPr>
          </w:p>
        </w:tc>
        <w:tc>
          <w:tcPr>
            <w:tcW w:w="1837"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ind w:left="43"/>
              <w:jc w:val="center"/>
              <w:rPr>
                <w:rFonts w:ascii="仿宋" w:hAnsi="仿宋" w:eastAsia="仿宋" w:cs="仿宋"/>
                <w:kern w:val="0"/>
                <w:szCs w:val="21"/>
                <w:highlight w:val="none"/>
              </w:rPr>
            </w:pPr>
          </w:p>
        </w:tc>
        <w:tc>
          <w:tcPr>
            <w:tcW w:w="2982"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ind w:left="43"/>
              <w:jc w:val="center"/>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638"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jc w:val="center"/>
              <w:rPr>
                <w:rFonts w:ascii="仿宋" w:hAnsi="仿宋" w:eastAsia="仿宋" w:cs="仿宋"/>
                <w:kern w:val="0"/>
                <w:szCs w:val="21"/>
                <w:highlight w:val="none"/>
              </w:rPr>
            </w:pPr>
            <w:r>
              <w:rPr>
                <w:rFonts w:hint="eastAsia" w:ascii="仿宋" w:hAnsi="仿宋" w:eastAsia="仿宋" w:cs="仿宋"/>
                <w:kern w:val="0"/>
                <w:szCs w:val="21"/>
                <w:highlight w:val="none"/>
              </w:rPr>
              <w:t>交货方式</w:t>
            </w:r>
          </w:p>
        </w:tc>
        <w:tc>
          <w:tcPr>
            <w:tcW w:w="2502"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rPr>
                <w:rFonts w:ascii="仿宋" w:hAnsi="仿宋" w:eastAsia="仿宋" w:cs="仿宋"/>
                <w:kern w:val="0"/>
                <w:szCs w:val="21"/>
                <w:highlight w:val="none"/>
              </w:rPr>
            </w:pPr>
          </w:p>
        </w:tc>
        <w:tc>
          <w:tcPr>
            <w:tcW w:w="1837"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ind w:left="43"/>
              <w:jc w:val="center"/>
              <w:rPr>
                <w:rFonts w:ascii="仿宋" w:hAnsi="仿宋" w:eastAsia="仿宋" w:cs="仿宋"/>
                <w:kern w:val="0"/>
                <w:szCs w:val="21"/>
                <w:highlight w:val="none"/>
              </w:rPr>
            </w:pPr>
          </w:p>
        </w:tc>
        <w:tc>
          <w:tcPr>
            <w:tcW w:w="2982"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ind w:left="43"/>
              <w:jc w:val="center"/>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638"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jc w:val="center"/>
              <w:rPr>
                <w:rFonts w:ascii="仿宋" w:hAnsi="仿宋" w:eastAsia="仿宋" w:cs="仿宋"/>
                <w:kern w:val="0"/>
                <w:szCs w:val="21"/>
                <w:highlight w:val="none"/>
              </w:rPr>
            </w:pPr>
            <w:r>
              <w:rPr>
                <w:rFonts w:hint="eastAsia" w:ascii="仿宋" w:hAnsi="仿宋" w:eastAsia="仿宋" w:cs="仿宋"/>
                <w:kern w:val="0"/>
                <w:szCs w:val="21"/>
                <w:highlight w:val="none"/>
              </w:rPr>
              <w:t>交货地点</w:t>
            </w:r>
          </w:p>
        </w:tc>
        <w:tc>
          <w:tcPr>
            <w:tcW w:w="2502"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rPr>
                <w:rFonts w:ascii="仿宋" w:hAnsi="仿宋" w:eastAsia="仿宋" w:cs="仿宋"/>
                <w:kern w:val="0"/>
                <w:szCs w:val="21"/>
                <w:highlight w:val="none"/>
              </w:rPr>
            </w:pPr>
          </w:p>
        </w:tc>
        <w:tc>
          <w:tcPr>
            <w:tcW w:w="1837"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ind w:left="43"/>
              <w:jc w:val="center"/>
              <w:rPr>
                <w:rFonts w:ascii="仿宋" w:hAnsi="仿宋" w:eastAsia="仿宋" w:cs="仿宋"/>
                <w:kern w:val="0"/>
                <w:szCs w:val="21"/>
                <w:highlight w:val="none"/>
              </w:rPr>
            </w:pPr>
          </w:p>
        </w:tc>
        <w:tc>
          <w:tcPr>
            <w:tcW w:w="2982"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ind w:left="43"/>
              <w:jc w:val="center"/>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638"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jc w:val="center"/>
              <w:rPr>
                <w:rFonts w:ascii="仿宋" w:hAnsi="仿宋" w:eastAsia="仿宋" w:cs="仿宋"/>
                <w:kern w:val="0"/>
                <w:szCs w:val="21"/>
                <w:highlight w:val="none"/>
              </w:rPr>
            </w:pPr>
            <w:r>
              <w:rPr>
                <w:rFonts w:hint="eastAsia" w:ascii="仿宋" w:hAnsi="仿宋" w:eastAsia="仿宋" w:cs="仿宋"/>
                <w:kern w:val="0"/>
                <w:szCs w:val="21"/>
                <w:highlight w:val="none"/>
              </w:rPr>
              <w:t>付款方式</w:t>
            </w:r>
          </w:p>
        </w:tc>
        <w:tc>
          <w:tcPr>
            <w:tcW w:w="2502"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rPr>
                <w:rFonts w:ascii="仿宋" w:hAnsi="仿宋" w:eastAsia="仿宋" w:cs="仿宋"/>
                <w:kern w:val="0"/>
                <w:szCs w:val="21"/>
                <w:highlight w:val="none"/>
              </w:rPr>
            </w:pPr>
          </w:p>
        </w:tc>
        <w:tc>
          <w:tcPr>
            <w:tcW w:w="1837"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jc w:val="center"/>
              <w:rPr>
                <w:rFonts w:ascii="仿宋" w:hAnsi="仿宋" w:eastAsia="仿宋" w:cs="仿宋"/>
                <w:kern w:val="0"/>
                <w:szCs w:val="21"/>
                <w:highlight w:val="none"/>
              </w:rPr>
            </w:pPr>
          </w:p>
        </w:tc>
        <w:tc>
          <w:tcPr>
            <w:tcW w:w="2982"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jc w:val="center"/>
              <w:rPr>
                <w:rFonts w:ascii="仿宋" w:hAnsi="仿宋" w:eastAsia="仿宋" w:cs="仿宋"/>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638"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jc w:val="center"/>
              <w:rPr>
                <w:rFonts w:ascii="仿宋" w:hAnsi="仿宋" w:eastAsia="仿宋" w:cs="仿宋"/>
                <w:kern w:val="0"/>
                <w:szCs w:val="21"/>
                <w:highlight w:val="none"/>
              </w:rPr>
            </w:pPr>
            <w:r>
              <w:rPr>
                <w:rFonts w:hint="eastAsia" w:ascii="仿宋" w:hAnsi="仿宋" w:eastAsia="仿宋" w:cs="仿宋"/>
                <w:kern w:val="0"/>
                <w:szCs w:val="21"/>
                <w:highlight w:val="none"/>
              </w:rPr>
              <w:t>其他</w:t>
            </w:r>
          </w:p>
        </w:tc>
        <w:tc>
          <w:tcPr>
            <w:tcW w:w="2502"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jc w:val="center"/>
              <w:rPr>
                <w:rFonts w:ascii="仿宋" w:hAnsi="仿宋" w:eastAsia="仿宋" w:cs="仿宋"/>
                <w:kern w:val="0"/>
                <w:szCs w:val="21"/>
                <w:highlight w:val="none"/>
              </w:rPr>
            </w:pPr>
            <w:r>
              <w:rPr>
                <w:rFonts w:hint="eastAsia" w:ascii="仿宋" w:hAnsi="仿宋" w:eastAsia="仿宋" w:cs="仿宋"/>
                <w:kern w:val="0"/>
                <w:szCs w:val="21"/>
                <w:highlight w:val="none"/>
              </w:rPr>
              <w:t>……</w:t>
            </w:r>
          </w:p>
        </w:tc>
        <w:tc>
          <w:tcPr>
            <w:tcW w:w="1837"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jc w:val="center"/>
              <w:rPr>
                <w:rFonts w:ascii="仿宋" w:hAnsi="仿宋" w:eastAsia="仿宋" w:cs="仿宋"/>
                <w:kern w:val="0"/>
                <w:szCs w:val="21"/>
                <w:highlight w:val="none"/>
              </w:rPr>
            </w:pPr>
          </w:p>
        </w:tc>
        <w:tc>
          <w:tcPr>
            <w:tcW w:w="2982" w:type="dxa"/>
            <w:tcBorders>
              <w:top w:val="single" w:color="auto" w:sz="4" w:space="0"/>
              <w:left w:val="single" w:color="auto" w:sz="4" w:space="0"/>
              <w:bottom w:val="single" w:color="auto" w:sz="4" w:space="0"/>
              <w:right w:val="single" w:color="auto" w:sz="4" w:space="0"/>
            </w:tcBorders>
          </w:tcPr>
          <w:p>
            <w:pPr>
              <w:wordWrap w:val="0"/>
              <w:topLinePunct/>
              <w:snapToGrid w:val="0"/>
              <w:spacing w:before="156" w:beforeLines="50"/>
              <w:jc w:val="center"/>
              <w:rPr>
                <w:rFonts w:ascii="仿宋" w:hAnsi="仿宋" w:eastAsia="仿宋" w:cs="仿宋"/>
                <w:kern w:val="0"/>
                <w:szCs w:val="21"/>
                <w:highlight w:val="none"/>
              </w:rPr>
            </w:pPr>
          </w:p>
        </w:tc>
      </w:tr>
    </w:tbl>
    <w:p>
      <w:pPr>
        <w:wordWrap w:val="0"/>
        <w:topLinePunct/>
        <w:spacing w:before="312" w:beforeLines="100" w:line="360" w:lineRule="auto"/>
        <w:rPr>
          <w:rFonts w:ascii="仿宋" w:hAnsi="仿宋" w:eastAsia="仿宋" w:cs="仿宋"/>
          <w:kern w:val="0"/>
          <w:szCs w:val="21"/>
          <w:highlight w:val="none"/>
        </w:rPr>
      </w:pPr>
      <w:r>
        <w:rPr>
          <w:rFonts w:hint="eastAsia" w:ascii="仿宋" w:hAnsi="仿宋" w:eastAsia="仿宋" w:cs="仿宋"/>
          <w:kern w:val="0"/>
          <w:szCs w:val="21"/>
          <w:highlight w:val="none"/>
        </w:rPr>
        <w:t>法定代表人或授权代表（签字）：</w:t>
      </w:r>
    </w:p>
    <w:p>
      <w:pPr>
        <w:wordWrap w:val="0"/>
        <w:topLinePunct/>
        <w:rPr>
          <w:rFonts w:ascii="仿宋" w:hAnsi="仿宋" w:eastAsia="仿宋" w:cs="仿宋"/>
          <w:kern w:val="0"/>
          <w:szCs w:val="21"/>
          <w:highlight w:val="none"/>
        </w:rPr>
      </w:pPr>
      <w:r>
        <w:rPr>
          <w:rFonts w:hint="eastAsia" w:ascii="仿宋" w:hAnsi="仿宋" w:eastAsia="仿宋" w:cs="仿宋"/>
          <w:kern w:val="0"/>
          <w:szCs w:val="21"/>
          <w:highlight w:val="none"/>
        </w:rPr>
        <w:br w:type="page"/>
      </w:r>
    </w:p>
    <w:p>
      <w:pPr>
        <w:wordWrap w:val="0"/>
        <w:topLinePunct/>
        <w:spacing w:after="312" w:afterLines="100" w:line="360" w:lineRule="auto"/>
        <w:jc w:val="center"/>
        <w:rPr>
          <w:rFonts w:ascii="仿宋" w:hAnsi="仿宋" w:eastAsia="仿宋" w:cs="仿宋"/>
          <w:b/>
          <w:kern w:val="0"/>
          <w:highlight w:val="none"/>
        </w:rPr>
      </w:pPr>
      <w:bookmarkStart w:id="135" w:name="_Toc20447"/>
      <w:bookmarkStart w:id="136" w:name="_Toc11596"/>
      <w:r>
        <w:rPr>
          <w:rFonts w:hint="eastAsia" w:ascii="仿宋" w:hAnsi="仿宋" w:eastAsia="仿宋" w:cs="仿宋"/>
          <w:b/>
          <w:kern w:val="0"/>
          <w:highlight w:val="none"/>
        </w:rPr>
        <w:t>主要标的信息（中标后将公示）</w:t>
      </w:r>
      <w:bookmarkEnd w:id="135"/>
      <w:bookmarkEnd w:id="136"/>
    </w:p>
    <w:p>
      <w:pPr>
        <w:wordWrap w:val="0"/>
        <w:topLinePunct/>
        <w:spacing w:after="312" w:afterLines="100" w:line="360" w:lineRule="auto"/>
        <w:rPr>
          <w:rFonts w:ascii="仿宋" w:hAnsi="仿宋" w:eastAsia="仿宋" w:cs="仿宋"/>
          <w:b/>
          <w:kern w:val="0"/>
          <w:highlight w:val="none"/>
        </w:rPr>
      </w:pPr>
      <w:r>
        <w:rPr>
          <w:rFonts w:hint="eastAsia" w:ascii="仿宋" w:hAnsi="仿宋" w:eastAsia="仿宋" w:cs="仿宋"/>
          <w:kern w:val="0"/>
          <w:highlight w:val="none"/>
        </w:rPr>
        <w:t>投标人全称：</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wordWrap w:val="0"/>
              <w:topLinePunct/>
              <w:jc w:val="center"/>
              <w:rPr>
                <w:rFonts w:ascii="仿宋" w:hAnsi="仿宋" w:eastAsia="仿宋" w:cs="仿宋"/>
                <w:kern w:val="0"/>
                <w:highlight w:val="none"/>
              </w:rPr>
            </w:pPr>
            <w:r>
              <w:rPr>
                <w:rFonts w:hint="eastAsia" w:ascii="仿宋" w:hAnsi="仿宋" w:eastAsia="仿宋" w:cs="仿宋"/>
                <w:kern w:val="0"/>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5000" w:type="pct"/>
          </w:tcPr>
          <w:p>
            <w:pPr>
              <w:wordWrap w:val="0"/>
              <w:topLinePunct/>
              <w:spacing w:line="360" w:lineRule="auto"/>
              <w:rPr>
                <w:rFonts w:ascii="仿宋" w:hAnsi="仿宋" w:eastAsia="仿宋" w:cs="仿宋"/>
                <w:kern w:val="0"/>
                <w:highlight w:val="none"/>
              </w:rPr>
            </w:pPr>
            <w:r>
              <w:rPr>
                <w:rFonts w:hint="eastAsia" w:ascii="仿宋" w:hAnsi="仿宋" w:eastAsia="仿宋" w:cs="仿宋"/>
                <w:kern w:val="0"/>
                <w:highlight w:val="none"/>
              </w:rPr>
              <w:t>名称：</w:t>
            </w:r>
          </w:p>
          <w:p>
            <w:pPr>
              <w:wordWrap w:val="0"/>
              <w:topLinePunct/>
              <w:spacing w:line="360" w:lineRule="auto"/>
              <w:rPr>
                <w:rFonts w:ascii="仿宋" w:hAnsi="仿宋" w:eastAsia="仿宋" w:cs="仿宋"/>
                <w:kern w:val="0"/>
                <w:highlight w:val="none"/>
              </w:rPr>
            </w:pPr>
            <w:r>
              <w:rPr>
                <w:rFonts w:hint="eastAsia" w:ascii="仿宋" w:hAnsi="仿宋" w:eastAsia="仿宋" w:cs="仿宋"/>
                <w:kern w:val="0"/>
                <w:highlight w:val="none"/>
              </w:rPr>
              <w:t>服务范围：</w:t>
            </w:r>
          </w:p>
          <w:p>
            <w:pPr>
              <w:wordWrap w:val="0"/>
              <w:topLinePunct/>
              <w:spacing w:line="360" w:lineRule="auto"/>
              <w:rPr>
                <w:rFonts w:ascii="仿宋" w:hAnsi="仿宋" w:eastAsia="仿宋" w:cs="仿宋"/>
                <w:kern w:val="0"/>
                <w:highlight w:val="none"/>
                <w:u w:val="single"/>
              </w:rPr>
            </w:pPr>
            <w:r>
              <w:rPr>
                <w:rFonts w:hint="eastAsia" w:ascii="仿宋" w:hAnsi="仿宋" w:eastAsia="仿宋" w:cs="仿宋"/>
                <w:kern w:val="0"/>
                <w:highlight w:val="none"/>
              </w:rPr>
              <w:t>服务要求：</w:t>
            </w:r>
          </w:p>
          <w:p>
            <w:pPr>
              <w:wordWrap w:val="0"/>
              <w:topLinePunct/>
              <w:spacing w:line="360" w:lineRule="auto"/>
              <w:rPr>
                <w:rFonts w:ascii="仿宋" w:hAnsi="仿宋" w:eastAsia="仿宋" w:cs="仿宋"/>
                <w:kern w:val="0"/>
                <w:highlight w:val="none"/>
                <w:u w:val="single"/>
              </w:rPr>
            </w:pPr>
            <w:r>
              <w:rPr>
                <w:rFonts w:hint="eastAsia" w:ascii="仿宋" w:hAnsi="仿宋" w:eastAsia="仿宋" w:cs="仿宋"/>
                <w:kern w:val="0"/>
                <w:highlight w:val="none"/>
              </w:rPr>
              <w:t>服务时间：</w:t>
            </w:r>
          </w:p>
          <w:p>
            <w:pPr>
              <w:wordWrap w:val="0"/>
              <w:topLinePunct/>
              <w:spacing w:line="360" w:lineRule="auto"/>
              <w:rPr>
                <w:rFonts w:ascii="仿宋" w:hAnsi="仿宋" w:eastAsia="仿宋" w:cs="仿宋"/>
                <w:kern w:val="0"/>
                <w:highlight w:val="none"/>
              </w:rPr>
            </w:pPr>
            <w:r>
              <w:rPr>
                <w:rFonts w:hint="eastAsia" w:ascii="仿宋" w:hAnsi="仿宋" w:eastAsia="仿宋" w:cs="仿宋"/>
                <w:kern w:val="0"/>
                <w:highlight w:val="none"/>
              </w:rPr>
              <w:t>服务标准：</w:t>
            </w:r>
          </w:p>
        </w:tc>
      </w:tr>
    </w:tbl>
    <w:p>
      <w:pPr>
        <w:wordWrap w:val="0"/>
        <w:topLinePunct/>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br w:type="page"/>
      </w:r>
    </w:p>
    <w:p>
      <w:pPr>
        <w:wordWrap w:val="0"/>
        <w:topLinePunct/>
        <w:spacing w:line="360" w:lineRule="auto"/>
        <w:ind w:firstLine="211" w:firstLineChars="100"/>
        <w:jc w:val="center"/>
        <w:rPr>
          <w:rFonts w:ascii="仿宋" w:hAnsi="仿宋" w:eastAsia="仿宋" w:cs="仿宋"/>
          <w:b/>
          <w:kern w:val="0"/>
          <w:highlight w:val="none"/>
        </w:rPr>
      </w:pPr>
    </w:p>
    <w:p>
      <w:pPr>
        <w:wordWrap w:val="0"/>
        <w:topLinePunct/>
        <w:spacing w:line="360" w:lineRule="auto"/>
        <w:ind w:firstLine="211" w:firstLineChars="100"/>
        <w:jc w:val="center"/>
        <w:rPr>
          <w:rFonts w:ascii="仿宋" w:hAnsi="仿宋" w:eastAsia="仿宋" w:cs="仿宋"/>
          <w:b/>
          <w:kern w:val="0"/>
          <w:highlight w:val="none"/>
        </w:rPr>
      </w:pPr>
      <w:r>
        <w:rPr>
          <w:rFonts w:hint="eastAsia" w:ascii="仿宋" w:hAnsi="仿宋" w:eastAsia="仿宋" w:cs="仿宋"/>
          <w:b/>
          <w:kern w:val="0"/>
          <w:highlight w:val="none"/>
        </w:rPr>
        <w:t>联合体协议（如有）</w:t>
      </w:r>
    </w:p>
    <w:p>
      <w:pPr>
        <w:wordWrap w:val="0"/>
        <w:topLinePunct/>
        <w:spacing w:line="360" w:lineRule="auto"/>
        <w:ind w:firstLine="211" w:firstLineChars="100"/>
        <w:jc w:val="center"/>
        <w:rPr>
          <w:rFonts w:ascii="仿宋" w:hAnsi="仿宋" w:eastAsia="仿宋" w:cs="仿宋"/>
          <w:b/>
          <w:kern w:val="0"/>
          <w:highlight w:val="none"/>
        </w:rPr>
      </w:pPr>
    </w:p>
    <w:p>
      <w:pPr>
        <w:wordWrap w:val="0"/>
        <w:topLinePunct/>
        <w:spacing w:line="360" w:lineRule="auto"/>
        <w:rPr>
          <w:rFonts w:ascii="仿宋" w:hAnsi="仿宋" w:eastAsia="仿宋" w:cs="仿宋"/>
          <w:kern w:val="0"/>
          <w:highlight w:val="none"/>
        </w:rPr>
      </w:pPr>
      <w:r>
        <w:rPr>
          <w:rFonts w:hint="eastAsia" w:ascii="仿宋" w:hAnsi="仿宋" w:eastAsia="仿宋" w:cs="仿宋"/>
          <w:kern w:val="0"/>
          <w:highlight w:val="none"/>
        </w:rPr>
        <w:t>（联合体中各供应商全称）在此达成以下协议：</w:t>
      </w:r>
    </w:p>
    <w:p>
      <w:pPr>
        <w:wordWrap w:val="0"/>
        <w:topLinePunct/>
        <w:spacing w:line="360" w:lineRule="auto"/>
        <w:ind w:firstLine="645"/>
        <w:rPr>
          <w:rFonts w:ascii="仿宋" w:hAnsi="仿宋" w:eastAsia="仿宋" w:cs="仿宋"/>
          <w:kern w:val="0"/>
          <w:highlight w:val="none"/>
        </w:rPr>
      </w:pPr>
      <w:r>
        <w:rPr>
          <w:rFonts w:hint="eastAsia" w:ascii="仿宋" w:hAnsi="仿宋" w:eastAsia="仿宋" w:cs="仿宋"/>
          <w:kern w:val="0"/>
          <w:highlight w:val="none"/>
        </w:rPr>
        <w:t>1、我们自愿组成联合体，参加（代理机构）的采购编号为（项目编号）（项目全称）的政府采购活动。</w:t>
      </w:r>
    </w:p>
    <w:p>
      <w:pPr>
        <w:wordWrap w:val="0"/>
        <w:topLinePunct/>
        <w:spacing w:line="360" w:lineRule="auto"/>
        <w:ind w:firstLine="645"/>
        <w:rPr>
          <w:rFonts w:ascii="仿宋" w:hAnsi="仿宋" w:eastAsia="仿宋" w:cs="仿宋"/>
          <w:kern w:val="0"/>
          <w:highlight w:val="none"/>
        </w:rPr>
      </w:pPr>
      <w:r>
        <w:rPr>
          <w:rFonts w:hint="eastAsia" w:ascii="仿宋" w:hAnsi="仿宋" w:eastAsia="仿宋" w:cs="仿宋"/>
          <w:kern w:val="0"/>
          <w:highlight w:val="none"/>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pPr>
        <w:wordWrap w:val="0"/>
        <w:topLinePunct/>
        <w:spacing w:line="360" w:lineRule="auto"/>
        <w:ind w:firstLine="645"/>
        <w:rPr>
          <w:rFonts w:ascii="仿宋" w:hAnsi="仿宋" w:eastAsia="仿宋" w:cs="仿宋"/>
          <w:kern w:val="0"/>
          <w:highlight w:val="none"/>
        </w:rPr>
      </w:pPr>
      <w:r>
        <w:rPr>
          <w:rFonts w:hint="eastAsia" w:ascii="仿宋" w:hAnsi="仿宋" w:eastAsia="仿宋" w:cs="仿宋"/>
          <w:kern w:val="0"/>
          <w:sz w:val="24"/>
          <w:highlight w:val="none"/>
        </w:rPr>
        <w:t xml:space="preserve">                                       </w:t>
      </w:r>
      <w:r>
        <w:rPr>
          <w:rFonts w:hint="eastAsia" w:ascii="仿宋" w:hAnsi="仿宋" w:eastAsia="仿宋" w:cs="仿宋"/>
          <w:kern w:val="0"/>
          <w:highlight w:val="none"/>
        </w:rPr>
        <w:t xml:space="preserve"> </w:t>
      </w:r>
    </w:p>
    <w:p>
      <w:pPr>
        <w:wordWrap w:val="0"/>
        <w:topLinePunct/>
        <w:spacing w:line="360" w:lineRule="auto"/>
        <w:ind w:firstLine="4620" w:firstLineChars="2200"/>
        <w:rPr>
          <w:rFonts w:ascii="仿宋" w:hAnsi="仿宋" w:eastAsia="仿宋" w:cs="仿宋"/>
          <w:kern w:val="0"/>
          <w:highlight w:val="none"/>
        </w:rPr>
      </w:pPr>
      <w:r>
        <w:rPr>
          <w:rFonts w:hint="eastAsia" w:ascii="仿宋" w:hAnsi="仿宋" w:eastAsia="仿宋" w:cs="仿宋"/>
          <w:kern w:val="0"/>
          <w:highlight w:val="none"/>
        </w:rPr>
        <w:t>所有供应商全称：</w:t>
      </w:r>
    </w:p>
    <w:p>
      <w:pPr>
        <w:wordWrap w:val="0"/>
        <w:topLinePunct/>
        <w:spacing w:line="360" w:lineRule="auto"/>
        <w:ind w:firstLine="645"/>
        <w:rPr>
          <w:rFonts w:ascii="仿宋" w:hAnsi="仿宋" w:eastAsia="仿宋" w:cs="仿宋"/>
          <w:kern w:val="0"/>
          <w:highlight w:val="none"/>
        </w:rPr>
      </w:pPr>
      <w:r>
        <w:rPr>
          <w:rFonts w:hint="eastAsia" w:ascii="仿宋" w:hAnsi="仿宋" w:eastAsia="仿宋" w:cs="仿宋"/>
          <w:kern w:val="0"/>
          <w:highlight w:val="none"/>
        </w:rPr>
        <w:t xml:space="preserve">                                      法定代表人：  </w:t>
      </w:r>
    </w:p>
    <w:p>
      <w:pPr>
        <w:wordWrap w:val="0"/>
        <w:topLinePunct/>
        <w:spacing w:line="360" w:lineRule="auto"/>
        <w:ind w:firstLine="4620" w:firstLineChars="2200"/>
        <w:rPr>
          <w:rFonts w:ascii="仿宋" w:hAnsi="仿宋" w:eastAsia="仿宋" w:cs="仿宋"/>
          <w:kern w:val="0"/>
          <w:highlight w:val="none"/>
        </w:rPr>
      </w:pPr>
      <w:r>
        <w:rPr>
          <w:rFonts w:hint="eastAsia" w:ascii="仿宋" w:hAnsi="仿宋" w:eastAsia="仿宋" w:cs="仿宋"/>
          <w:kern w:val="0"/>
          <w:highlight w:val="none"/>
        </w:rPr>
        <w:t>日期：</w:t>
      </w:r>
    </w:p>
    <w:p>
      <w:pPr>
        <w:pStyle w:val="33"/>
        <w:wordWrap w:val="0"/>
        <w:topLinePunct/>
        <w:rPr>
          <w:rFonts w:ascii="仿宋" w:hAnsi="仿宋" w:eastAsia="仿宋" w:cs="仿宋"/>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宋体_GB2312">
    <w:altName w:val="宋体"/>
    <w:panose1 w:val="00000000000000000000"/>
    <w:charset w:val="86"/>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_GB2312" w:hAnsi="宋体_GB2312" w:eastAsia="宋体_GB2312"/>
      </w:rPr>
    </w:pPr>
    <w:r>
      <w:rPr>
        <w:rFonts w:ascii="宋体_GB2312" w:hAnsi="宋体_GB2312" w:eastAsia="宋体_GB2312"/>
      </w:rPr>
      <w:fldChar w:fldCharType="begin"/>
    </w:r>
    <w:r>
      <w:rPr>
        <w:rFonts w:ascii="宋体_GB2312" w:hAnsi="宋体_GB2312" w:eastAsia="宋体_GB2312"/>
      </w:rPr>
      <w:instrText xml:space="preserve"> Page \* MERGEFORMAT </w:instrText>
    </w:r>
    <w:r>
      <w:rPr>
        <w:rFonts w:ascii="宋体_GB2312" w:hAnsi="宋体_GB2312" w:eastAsia="宋体_GB2312"/>
      </w:rPr>
      <w:fldChar w:fldCharType="separate"/>
    </w:r>
    <w:r>
      <w:rPr>
        <w:rFonts w:ascii="宋体_GB2312" w:hAnsi="宋体_GB2312" w:eastAsia="宋体_GB2312"/>
      </w:rPr>
      <w:t>4</w:t>
    </w:r>
    <w:r>
      <w:rPr>
        <w:rFonts w:ascii="宋体_GB2312" w:hAnsi="宋体_GB2312" w:eastAsia="宋体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highlight w:val="green"/>
      </w:rPr>
      <w:t>JSDC-G-20240612001</w:t>
    </w:r>
    <w:r>
      <w:rPr>
        <w:rFonts w:hint="eastAsia"/>
      </w:rPr>
      <w:t xml:space="preserve">号                               </w:t>
    </w:r>
    <w:r>
      <w:rPr>
        <w:rFonts w:hint="eastAsia"/>
        <w:highlight w:val="green"/>
      </w:rPr>
      <w:t>江苏省鼎诚建设工程顾问有限公司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06FC0"/>
    <w:multiLevelType w:val="singleLevel"/>
    <w:tmpl w:val="82C06FC0"/>
    <w:lvl w:ilvl="0" w:tentative="0">
      <w:start w:val="3"/>
      <w:numFmt w:val="decimal"/>
      <w:suff w:val="nothing"/>
      <w:lvlText w:val="%1、"/>
      <w:lvlJc w:val="left"/>
    </w:lvl>
  </w:abstractNum>
  <w:abstractNum w:abstractNumId="1">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64"/>
      <w:isLgl/>
      <w:lvlText w:val="%1.%2"/>
      <w:lvlJc w:val="left"/>
      <w:pPr>
        <w:tabs>
          <w:tab w:val="left" w:pos="851"/>
        </w:tabs>
        <w:ind w:left="0" w:firstLine="0"/>
      </w:pPr>
    </w:lvl>
    <w:lvl w:ilvl="2" w:tentative="0">
      <w:start w:val="1"/>
      <w:numFmt w:val="decimal"/>
      <w:pStyle w:val="61"/>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2">
    <w:nsid w:val="2A4F5B4F"/>
    <w:multiLevelType w:val="multilevel"/>
    <w:tmpl w:val="2A4F5B4F"/>
    <w:lvl w:ilvl="0" w:tentative="0">
      <w:start w:val="1"/>
      <w:numFmt w:val="decimal"/>
      <w:lvlText w:val="%1)"/>
      <w:lvlJc w:val="left"/>
      <w:pPr>
        <w:ind w:left="840" w:hanging="420"/>
      </w:p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5AB26A0"/>
    <w:multiLevelType w:val="multilevel"/>
    <w:tmpl w:val="35AB26A0"/>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3BED4010"/>
    <w:multiLevelType w:val="multilevel"/>
    <w:tmpl w:val="3BED4010"/>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400F4CCF"/>
    <w:multiLevelType w:val="multilevel"/>
    <w:tmpl w:val="400F4CCF"/>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6">
    <w:nsid w:val="401B0E4A"/>
    <w:multiLevelType w:val="multilevel"/>
    <w:tmpl w:val="401B0E4A"/>
    <w:lvl w:ilvl="0" w:tentative="0">
      <w:start w:val="1"/>
      <w:numFmt w:val="decimal"/>
      <w:lvlText w:val="%1)"/>
      <w:lvlJc w:val="left"/>
      <w:pPr>
        <w:ind w:left="840" w:hanging="420"/>
      </w:p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2E80379"/>
    <w:multiLevelType w:val="multilevel"/>
    <w:tmpl w:val="42E80379"/>
    <w:lvl w:ilvl="0" w:tentative="0">
      <w:start w:val="1"/>
      <w:numFmt w:val="decimal"/>
      <w:lvlText w:val="%1)"/>
      <w:lvlJc w:val="left"/>
      <w:pPr>
        <w:ind w:left="420" w:hanging="420"/>
      </w:pPr>
    </w:lvl>
    <w:lvl w:ilvl="1" w:tentative="0">
      <w:start w:val="1"/>
      <w:numFmt w:val="decimal"/>
      <w:lvlText w:val="%2)"/>
      <w:lvlJc w:val="left"/>
      <w:pPr>
        <w:ind w:left="1271"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7AF55E8"/>
    <w:multiLevelType w:val="multilevel"/>
    <w:tmpl w:val="47AF55E8"/>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9">
    <w:nsid w:val="5A775CF9"/>
    <w:multiLevelType w:val="multilevel"/>
    <w:tmpl w:val="5A775CF9"/>
    <w:lvl w:ilvl="0" w:tentative="0">
      <w:start w:val="1"/>
      <w:numFmt w:val="decimal"/>
      <w:lvlText w:val="%1)"/>
      <w:lvlJc w:val="left"/>
      <w:pPr>
        <w:ind w:left="840" w:hanging="420"/>
      </w:p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FF33891"/>
    <w:multiLevelType w:val="multilevel"/>
    <w:tmpl w:val="5FF33891"/>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1">
    <w:nsid w:val="782C7D48"/>
    <w:multiLevelType w:val="multilevel"/>
    <w:tmpl w:val="782C7D48"/>
    <w:lvl w:ilvl="0" w:tentative="0">
      <w:start w:val="1"/>
      <w:numFmt w:val="decimal"/>
      <w:lvlText w:val="%1."/>
      <w:lvlJc w:val="left"/>
      <w:pPr>
        <w:ind w:left="360" w:hanging="360"/>
      </w:pPr>
      <w:rPr>
        <w:rFonts w:hint="default"/>
      </w:rPr>
    </w:lvl>
    <w:lvl w:ilvl="1" w:tentative="0">
      <w:start w:val="1"/>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DEC2DA8"/>
    <w:multiLevelType w:val="multilevel"/>
    <w:tmpl w:val="7DEC2DA8"/>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1"/>
  </w:num>
  <w:num w:numId="2">
    <w:abstractNumId w:val="11"/>
  </w:num>
  <w:num w:numId="3">
    <w:abstractNumId w:val="3"/>
  </w:num>
  <w:num w:numId="4">
    <w:abstractNumId w:val="8"/>
  </w:num>
  <w:num w:numId="5">
    <w:abstractNumId w:val="10"/>
  </w:num>
  <w:num w:numId="6">
    <w:abstractNumId w:val="5"/>
  </w:num>
  <w:num w:numId="7">
    <w:abstractNumId w:val="12"/>
  </w:num>
  <w:num w:numId="8">
    <w:abstractNumId w:val="6"/>
  </w:num>
  <w:num w:numId="9">
    <w:abstractNumId w:val="9"/>
  </w:num>
  <w:num w:numId="10">
    <w:abstractNumId w:val="7"/>
  </w:num>
  <w:num w:numId="11">
    <w:abstractNumId w:val="2"/>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IwYTgwZDM1NTc0YzBkMGJkYWQxYWZiYTdmYzEifQ=="/>
  </w:docVars>
  <w:rsids>
    <w:rsidRoot w:val="00532D53"/>
    <w:rsid w:val="000416C3"/>
    <w:rsid w:val="00045EEF"/>
    <w:rsid w:val="000A035E"/>
    <w:rsid w:val="000C1D63"/>
    <w:rsid w:val="00117197"/>
    <w:rsid w:val="0013660C"/>
    <w:rsid w:val="00147210"/>
    <w:rsid w:val="002411F9"/>
    <w:rsid w:val="00276AD9"/>
    <w:rsid w:val="00290DCF"/>
    <w:rsid w:val="002973F2"/>
    <w:rsid w:val="002B2D81"/>
    <w:rsid w:val="002B4615"/>
    <w:rsid w:val="002C63E7"/>
    <w:rsid w:val="00322D74"/>
    <w:rsid w:val="00396C12"/>
    <w:rsid w:val="003A2F5D"/>
    <w:rsid w:val="003A7118"/>
    <w:rsid w:val="003E0179"/>
    <w:rsid w:val="004E5FFB"/>
    <w:rsid w:val="00532D53"/>
    <w:rsid w:val="00540BD9"/>
    <w:rsid w:val="00563048"/>
    <w:rsid w:val="00587CF4"/>
    <w:rsid w:val="005A46A6"/>
    <w:rsid w:val="005A7EAE"/>
    <w:rsid w:val="00610356"/>
    <w:rsid w:val="00612CAF"/>
    <w:rsid w:val="00641D40"/>
    <w:rsid w:val="006544F1"/>
    <w:rsid w:val="00665EE7"/>
    <w:rsid w:val="00671927"/>
    <w:rsid w:val="006A1A83"/>
    <w:rsid w:val="006C17AE"/>
    <w:rsid w:val="006E73A6"/>
    <w:rsid w:val="00705361"/>
    <w:rsid w:val="0072598C"/>
    <w:rsid w:val="007416B3"/>
    <w:rsid w:val="00795479"/>
    <w:rsid w:val="007B32FF"/>
    <w:rsid w:val="007E1D2B"/>
    <w:rsid w:val="00847DCA"/>
    <w:rsid w:val="008512A0"/>
    <w:rsid w:val="00853709"/>
    <w:rsid w:val="00876971"/>
    <w:rsid w:val="008A2DAC"/>
    <w:rsid w:val="008C1FAD"/>
    <w:rsid w:val="008E4327"/>
    <w:rsid w:val="009127A6"/>
    <w:rsid w:val="009311B2"/>
    <w:rsid w:val="0097629D"/>
    <w:rsid w:val="009A5D98"/>
    <w:rsid w:val="009B2871"/>
    <w:rsid w:val="009E2558"/>
    <w:rsid w:val="009F4010"/>
    <w:rsid w:val="00A05D6E"/>
    <w:rsid w:val="00AA6562"/>
    <w:rsid w:val="00AB4F7B"/>
    <w:rsid w:val="00AD78A8"/>
    <w:rsid w:val="00AF6BD3"/>
    <w:rsid w:val="00B0331F"/>
    <w:rsid w:val="00B27992"/>
    <w:rsid w:val="00B30242"/>
    <w:rsid w:val="00B364BF"/>
    <w:rsid w:val="00B37B7B"/>
    <w:rsid w:val="00B448A6"/>
    <w:rsid w:val="00B607C6"/>
    <w:rsid w:val="00B9624F"/>
    <w:rsid w:val="00BE44EA"/>
    <w:rsid w:val="00C01CC8"/>
    <w:rsid w:val="00C47896"/>
    <w:rsid w:val="00C50420"/>
    <w:rsid w:val="00C911B7"/>
    <w:rsid w:val="00CE684F"/>
    <w:rsid w:val="00CE6A8F"/>
    <w:rsid w:val="00CF5B6C"/>
    <w:rsid w:val="00D042A4"/>
    <w:rsid w:val="00D24908"/>
    <w:rsid w:val="00D30C4D"/>
    <w:rsid w:val="00D552A4"/>
    <w:rsid w:val="00D62196"/>
    <w:rsid w:val="00D82602"/>
    <w:rsid w:val="00D84E39"/>
    <w:rsid w:val="00D878D4"/>
    <w:rsid w:val="00D92C23"/>
    <w:rsid w:val="00DC02C9"/>
    <w:rsid w:val="00E5663B"/>
    <w:rsid w:val="00ED230A"/>
    <w:rsid w:val="00ED46FC"/>
    <w:rsid w:val="00EE027F"/>
    <w:rsid w:val="00F16DC4"/>
    <w:rsid w:val="00F761CE"/>
    <w:rsid w:val="00FB1C77"/>
    <w:rsid w:val="00FB4D7F"/>
    <w:rsid w:val="00FC5052"/>
    <w:rsid w:val="00FE155E"/>
    <w:rsid w:val="00FF202F"/>
    <w:rsid w:val="00FF278A"/>
    <w:rsid w:val="01042CD0"/>
    <w:rsid w:val="011C2FE6"/>
    <w:rsid w:val="018E6ED2"/>
    <w:rsid w:val="01DB3B1B"/>
    <w:rsid w:val="01F505E8"/>
    <w:rsid w:val="022E2266"/>
    <w:rsid w:val="02323896"/>
    <w:rsid w:val="024149F8"/>
    <w:rsid w:val="026D327B"/>
    <w:rsid w:val="02CC039C"/>
    <w:rsid w:val="02F11E7A"/>
    <w:rsid w:val="02FD025A"/>
    <w:rsid w:val="032071BF"/>
    <w:rsid w:val="032D1B81"/>
    <w:rsid w:val="03527789"/>
    <w:rsid w:val="035508A9"/>
    <w:rsid w:val="036C7657"/>
    <w:rsid w:val="03766107"/>
    <w:rsid w:val="0385621A"/>
    <w:rsid w:val="03901999"/>
    <w:rsid w:val="04335AA0"/>
    <w:rsid w:val="048D140C"/>
    <w:rsid w:val="04C156A8"/>
    <w:rsid w:val="04D50FA6"/>
    <w:rsid w:val="04DB3584"/>
    <w:rsid w:val="04DC66DA"/>
    <w:rsid w:val="05560C33"/>
    <w:rsid w:val="055D5E59"/>
    <w:rsid w:val="05716CEA"/>
    <w:rsid w:val="05726BCF"/>
    <w:rsid w:val="05BA6B3A"/>
    <w:rsid w:val="05CF3240"/>
    <w:rsid w:val="06182C09"/>
    <w:rsid w:val="066F5090"/>
    <w:rsid w:val="06996449"/>
    <w:rsid w:val="06C0606E"/>
    <w:rsid w:val="06F6450D"/>
    <w:rsid w:val="0700541D"/>
    <w:rsid w:val="077527CF"/>
    <w:rsid w:val="07A06017"/>
    <w:rsid w:val="07A80859"/>
    <w:rsid w:val="07BD6329"/>
    <w:rsid w:val="07DD0DB6"/>
    <w:rsid w:val="07E44C5D"/>
    <w:rsid w:val="07FB4E2D"/>
    <w:rsid w:val="084222EA"/>
    <w:rsid w:val="087668B1"/>
    <w:rsid w:val="087C0907"/>
    <w:rsid w:val="08877921"/>
    <w:rsid w:val="08EA2D54"/>
    <w:rsid w:val="09021236"/>
    <w:rsid w:val="090A2F16"/>
    <w:rsid w:val="090B0C52"/>
    <w:rsid w:val="095A3D4C"/>
    <w:rsid w:val="09735440"/>
    <w:rsid w:val="099A03D6"/>
    <w:rsid w:val="09A048F4"/>
    <w:rsid w:val="09A13B81"/>
    <w:rsid w:val="09C75909"/>
    <w:rsid w:val="0A3C5699"/>
    <w:rsid w:val="0A766BCC"/>
    <w:rsid w:val="0A843DD2"/>
    <w:rsid w:val="0A916916"/>
    <w:rsid w:val="0AC51722"/>
    <w:rsid w:val="0B2B3C7B"/>
    <w:rsid w:val="0B4B4B0B"/>
    <w:rsid w:val="0B7C68A0"/>
    <w:rsid w:val="0B7D2E00"/>
    <w:rsid w:val="0BB145E6"/>
    <w:rsid w:val="0BFE4EA4"/>
    <w:rsid w:val="0C1112B6"/>
    <w:rsid w:val="0C22507E"/>
    <w:rsid w:val="0C4A6383"/>
    <w:rsid w:val="0C807EFC"/>
    <w:rsid w:val="0C8748EC"/>
    <w:rsid w:val="0CCB2B9E"/>
    <w:rsid w:val="0CDF2F6F"/>
    <w:rsid w:val="0D00791F"/>
    <w:rsid w:val="0D030096"/>
    <w:rsid w:val="0D0D4866"/>
    <w:rsid w:val="0D530F42"/>
    <w:rsid w:val="0D6B357A"/>
    <w:rsid w:val="0D756314"/>
    <w:rsid w:val="0D840ED7"/>
    <w:rsid w:val="0DCA76B4"/>
    <w:rsid w:val="0DCC6BAE"/>
    <w:rsid w:val="0DF728D6"/>
    <w:rsid w:val="0DFA3AEA"/>
    <w:rsid w:val="0E0A0122"/>
    <w:rsid w:val="0E154AD6"/>
    <w:rsid w:val="0E44250F"/>
    <w:rsid w:val="0E564460"/>
    <w:rsid w:val="0E8518F4"/>
    <w:rsid w:val="0EA03A9A"/>
    <w:rsid w:val="0EA1513D"/>
    <w:rsid w:val="0EA50E60"/>
    <w:rsid w:val="0EC62248"/>
    <w:rsid w:val="0EC83BF1"/>
    <w:rsid w:val="0ECA5559"/>
    <w:rsid w:val="0F12155B"/>
    <w:rsid w:val="0F133BA5"/>
    <w:rsid w:val="0F2C0E02"/>
    <w:rsid w:val="0F2D2CD3"/>
    <w:rsid w:val="0F421DA6"/>
    <w:rsid w:val="0F5379B9"/>
    <w:rsid w:val="0F5A7EA9"/>
    <w:rsid w:val="0F753717"/>
    <w:rsid w:val="0F867F3E"/>
    <w:rsid w:val="0FA6633E"/>
    <w:rsid w:val="10055279"/>
    <w:rsid w:val="1010725F"/>
    <w:rsid w:val="10145DEC"/>
    <w:rsid w:val="104258B0"/>
    <w:rsid w:val="105B1C29"/>
    <w:rsid w:val="10AE0DFC"/>
    <w:rsid w:val="10C919AC"/>
    <w:rsid w:val="10CF66BB"/>
    <w:rsid w:val="1130274C"/>
    <w:rsid w:val="1140229F"/>
    <w:rsid w:val="114868A0"/>
    <w:rsid w:val="11770410"/>
    <w:rsid w:val="11917FB3"/>
    <w:rsid w:val="1199385D"/>
    <w:rsid w:val="11A20F6F"/>
    <w:rsid w:val="11BC56A6"/>
    <w:rsid w:val="1221436C"/>
    <w:rsid w:val="12574E0E"/>
    <w:rsid w:val="126368E4"/>
    <w:rsid w:val="126A5AC3"/>
    <w:rsid w:val="12930D1D"/>
    <w:rsid w:val="129F66BC"/>
    <w:rsid w:val="12C70D3C"/>
    <w:rsid w:val="131778AE"/>
    <w:rsid w:val="13385C2F"/>
    <w:rsid w:val="136E2957"/>
    <w:rsid w:val="13987F9F"/>
    <w:rsid w:val="13C576DE"/>
    <w:rsid w:val="13E10270"/>
    <w:rsid w:val="13FD1907"/>
    <w:rsid w:val="140C7E8E"/>
    <w:rsid w:val="14280D4F"/>
    <w:rsid w:val="144C1E15"/>
    <w:rsid w:val="14696565"/>
    <w:rsid w:val="14997145"/>
    <w:rsid w:val="14A46DC2"/>
    <w:rsid w:val="14B90B22"/>
    <w:rsid w:val="14B923ED"/>
    <w:rsid w:val="14D56C10"/>
    <w:rsid w:val="14D642FC"/>
    <w:rsid w:val="14FC40BB"/>
    <w:rsid w:val="152A4F0B"/>
    <w:rsid w:val="15383AC2"/>
    <w:rsid w:val="15392F9B"/>
    <w:rsid w:val="154802CD"/>
    <w:rsid w:val="155B3EC5"/>
    <w:rsid w:val="158D7577"/>
    <w:rsid w:val="15AC0202"/>
    <w:rsid w:val="15AE1BF8"/>
    <w:rsid w:val="15C172CC"/>
    <w:rsid w:val="15C80959"/>
    <w:rsid w:val="15D538B4"/>
    <w:rsid w:val="162D2535"/>
    <w:rsid w:val="163620D8"/>
    <w:rsid w:val="16583AD2"/>
    <w:rsid w:val="166918C6"/>
    <w:rsid w:val="16856CE2"/>
    <w:rsid w:val="16895D96"/>
    <w:rsid w:val="169E034E"/>
    <w:rsid w:val="16A80FBA"/>
    <w:rsid w:val="16B65E2D"/>
    <w:rsid w:val="16B71B14"/>
    <w:rsid w:val="173C56DA"/>
    <w:rsid w:val="17965D14"/>
    <w:rsid w:val="17A9405F"/>
    <w:rsid w:val="182C2016"/>
    <w:rsid w:val="18437409"/>
    <w:rsid w:val="185D488B"/>
    <w:rsid w:val="18654460"/>
    <w:rsid w:val="18925339"/>
    <w:rsid w:val="18C208FD"/>
    <w:rsid w:val="19104A16"/>
    <w:rsid w:val="19234AE3"/>
    <w:rsid w:val="194B6C84"/>
    <w:rsid w:val="1958329A"/>
    <w:rsid w:val="1978121F"/>
    <w:rsid w:val="19825404"/>
    <w:rsid w:val="19BF4B06"/>
    <w:rsid w:val="19D64E81"/>
    <w:rsid w:val="1A1D671E"/>
    <w:rsid w:val="1A296318"/>
    <w:rsid w:val="1A296E92"/>
    <w:rsid w:val="1A790A5C"/>
    <w:rsid w:val="1A807C23"/>
    <w:rsid w:val="1AA57436"/>
    <w:rsid w:val="1B0A3744"/>
    <w:rsid w:val="1B123811"/>
    <w:rsid w:val="1B302BE8"/>
    <w:rsid w:val="1B5F025F"/>
    <w:rsid w:val="1B9D118D"/>
    <w:rsid w:val="1C030A65"/>
    <w:rsid w:val="1C294584"/>
    <w:rsid w:val="1C52438D"/>
    <w:rsid w:val="1C6D5910"/>
    <w:rsid w:val="1C8923C3"/>
    <w:rsid w:val="1CD41793"/>
    <w:rsid w:val="1D1A7363"/>
    <w:rsid w:val="1D2F6D72"/>
    <w:rsid w:val="1D3A4BC9"/>
    <w:rsid w:val="1D715281"/>
    <w:rsid w:val="1D790145"/>
    <w:rsid w:val="1D8E19F8"/>
    <w:rsid w:val="1D9652F1"/>
    <w:rsid w:val="1DED5247"/>
    <w:rsid w:val="1DF00582"/>
    <w:rsid w:val="1DFE0C79"/>
    <w:rsid w:val="1E060A1F"/>
    <w:rsid w:val="1E9513F1"/>
    <w:rsid w:val="1F082724"/>
    <w:rsid w:val="1FB63CEA"/>
    <w:rsid w:val="1FC13B6C"/>
    <w:rsid w:val="1FE12550"/>
    <w:rsid w:val="1FF82C18"/>
    <w:rsid w:val="20336856"/>
    <w:rsid w:val="204723E8"/>
    <w:rsid w:val="20533273"/>
    <w:rsid w:val="20A0556B"/>
    <w:rsid w:val="20BD1DAC"/>
    <w:rsid w:val="20BF3002"/>
    <w:rsid w:val="20C32B86"/>
    <w:rsid w:val="20F9441E"/>
    <w:rsid w:val="21081411"/>
    <w:rsid w:val="214B166A"/>
    <w:rsid w:val="21553279"/>
    <w:rsid w:val="2176585A"/>
    <w:rsid w:val="21916D64"/>
    <w:rsid w:val="21BE690F"/>
    <w:rsid w:val="21C83455"/>
    <w:rsid w:val="21E852BB"/>
    <w:rsid w:val="21FC2063"/>
    <w:rsid w:val="221968C4"/>
    <w:rsid w:val="221C1074"/>
    <w:rsid w:val="22330F04"/>
    <w:rsid w:val="223C4C92"/>
    <w:rsid w:val="22967136"/>
    <w:rsid w:val="229C7214"/>
    <w:rsid w:val="22B922A3"/>
    <w:rsid w:val="22C02AA3"/>
    <w:rsid w:val="234321EF"/>
    <w:rsid w:val="23C1234A"/>
    <w:rsid w:val="2418071C"/>
    <w:rsid w:val="244E432F"/>
    <w:rsid w:val="249A7936"/>
    <w:rsid w:val="24CD2360"/>
    <w:rsid w:val="24F64E06"/>
    <w:rsid w:val="25005B3A"/>
    <w:rsid w:val="2508159A"/>
    <w:rsid w:val="25152289"/>
    <w:rsid w:val="25405B62"/>
    <w:rsid w:val="255676EF"/>
    <w:rsid w:val="258167B8"/>
    <w:rsid w:val="258677E5"/>
    <w:rsid w:val="25AF3D66"/>
    <w:rsid w:val="25D333E6"/>
    <w:rsid w:val="26105AEF"/>
    <w:rsid w:val="261B47DF"/>
    <w:rsid w:val="265D7770"/>
    <w:rsid w:val="26954E64"/>
    <w:rsid w:val="269D5BC0"/>
    <w:rsid w:val="26AB1110"/>
    <w:rsid w:val="274038B0"/>
    <w:rsid w:val="27D531C6"/>
    <w:rsid w:val="27EF0EEB"/>
    <w:rsid w:val="28045DDD"/>
    <w:rsid w:val="2852419D"/>
    <w:rsid w:val="2856667C"/>
    <w:rsid w:val="285A12A4"/>
    <w:rsid w:val="288208CA"/>
    <w:rsid w:val="28834D2D"/>
    <w:rsid w:val="28B90FDC"/>
    <w:rsid w:val="28CB21A2"/>
    <w:rsid w:val="28E514B5"/>
    <w:rsid w:val="291A232A"/>
    <w:rsid w:val="29251D64"/>
    <w:rsid w:val="29401673"/>
    <w:rsid w:val="29787C34"/>
    <w:rsid w:val="29D515C1"/>
    <w:rsid w:val="29E92064"/>
    <w:rsid w:val="2A066068"/>
    <w:rsid w:val="2A207045"/>
    <w:rsid w:val="2A5F0DF4"/>
    <w:rsid w:val="2A88023B"/>
    <w:rsid w:val="2AB25218"/>
    <w:rsid w:val="2AC27C1F"/>
    <w:rsid w:val="2AD20EE7"/>
    <w:rsid w:val="2AD4533E"/>
    <w:rsid w:val="2AF35513"/>
    <w:rsid w:val="2B4C200F"/>
    <w:rsid w:val="2B530B6C"/>
    <w:rsid w:val="2BE14930"/>
    <w:rsid w:val="2BFE6AE3"/>
    <w:rsid w:val="2C032CD8"/>
    <w:rsid w:val="2C1D1083"/>
    <w:rsid w:val="2C532D7F"/>
    <w:rsid w:val="2C6E6946"/>
    <w:rsid w:val="2C902849"/>
    <w:rsid w:val="2C921050"/>
    <w:rsid w:val="2CFE48F4"/>
    <w:rsid w:val="2D092A9C"/>
    <w:rsid w:val="2D7359A8"/>
    <w:rsid w:val="2D7B7CF2"/>
    <w:rsid w:val="2D7E0A4B"/>
    <w:rsid w:val="2D8E419E"/>
    <w:rsid w:val="2DB7260D"/>
    <w:rsid w:val="2DDE5EB6"/>
    <w:rsid w:val="2DF67CC1"/>
    <w:rsid w:val="2DFF3802"/>
    <w:rsid w:val="2E534CAD"/>
    <w:rsid w:val="2E5847C2"/>
    <w:rsid w:val="2E962CD1"/>
    <w:rsid w:val="2EA166AA"/>
    <w:rsid w:val="2EDA4BCE"/>
    <w:rsid w:val="2EDF55D5"/>
    <w:rsid w:val="2F33374D"/>
    <w:rsid w:val="2F357DA4"/>
    <w:rsid w:val="2F401403"/>
    <w:rsid w:val="2F6F0D57"/>
    <w:rsid w:val="2F910CDD"/>
    <w:rsid w:val="2FD1010B"/>
    <w:rsid w:val="2FFE02C6"/>
    <w:rsid w:val="30046E2E"/>
    <w:rsid w:val="30421A18"/>
    <w:rsid w:val="30951758"/>
    <w:rsid w:val="30D05D96"/>
    <w:rsid w:val="31125A07"/>
    <w:rsid w:val="31244656"/>
    <w:rsid w:val="313D6548"/>
    <w:rsid w:val="315417EB"/>
    <w:rsid w:val="317A3002"/>
    <w:rsid w:val="31C0321A"/>
    <w:rsid w:val="31C529D9"/>
    <w:rsid w:val="31CD02CE"/>
    <w:rsid w:val="31D6572E"/>
    <w:rsid w:val="31DD0555"/>
    <w:rsid w:val="31EF72C3"/>
    <w:rsid w:val="320B3918"/>
    <w:rsid w:val="321578C2"/>
    <w:rsid w:val="32195EB6"/>
    <w:rsid w:val="321E0DC5"/>
    <w:rsid w:val="32497751"/>
    <w:rsid w:val="32566DD8"/>
    <w:rsid w:val="325A374F"/>
    <w:rsid w:val="326973A0"/>
    <w:rsid w:val="32A101CE"/>
    <w:rsid w:val="32DF0641"/>
    <w:rsid w:val="33046B97"/>
    <w:rsid w:val="330E1609"/>
    <w:rsid w:val="338A2F85"/>
    <w:rsid w:val="34294B7C"/>
    <w:rsid w:val="347A7477"/>
    <w:rsid w:val="349A7F1B"/>
    <w:rsid w:val="34AD3135"/>
    <w:rsid w:val="34D27336"/>
    <w:rsid w:val="34D50630"/>
    <w:rsid w:val="34DD43B0"/>
    <w:rsid w:val="34E835EF"/>
    <w:rsid w:val="34F3527E"/>
    <w:rsid w:val="352629A3"/>
    <w:rsid w:val="35455A26"/>
    <w:rsid w:val="354D019A"/>
    <w:rsid w:val="35647813"/>
    <w:rsid w:val="358611E7"/>
    <w:rsid w:val="358652D3"/>
    <w:rsid w:val="35C306E7"/>
    <w:rsid w:val="35F528C2"/>
    <w:rsid w:val="35FA2E3F"/>
    <w:rsid w:val="36C14FEF"/>
    <w:rsid w:val="36D25617"/>
    <w:rsid w:val="36D47058"/>
    <w:rsid w:val="36DB7A54"/>
    <w:rsid w:val="37270EEB"/>
    <w:rsid w:val="373B6AFC"/>
    <w:rsid w:val="37AA04CC"/>
    <w:rsid w:val="37AA5614"/>
    <w:rsid w:val="37BD620C"/>
    <w:rsid w:val="37C80C1D"/>
    <w:rsid w:val="37CA23C1"/>
    <w:rsid w:val="37DC2AA7"/>
    <w:rsid w:val="37F410FF"/>
    <w:rsid w:val="37FC6D17"/>
    <w:rsid w:val="382C2E3E"/>
    <w:rsid w:val="38AC0785"/>
    <w:rsid w:val="38B62955"/>
    <w:rsid w:val="38B91712"/>
    <w:rsid w:val="38EC151C"/>
    <w:rsid w:val="38ED3DA2"/>
    <w:rsid w:val="38F512A1"/>
    <w:rsid w:val="391153EC"/>
    <w:rsid w:val="392F0EB2"/>
    <w:rsid w:val="39473457"/>
    <w:rsid w:val="397D4DF2"/>
    <w:rsid w:val="39893797"/>
    <w:rsid w:val="39E65A41"/>
    <w:rsid w:val="39F931BB"/>
    <w:rsid w:val="3A38586D"/>
    <w:rsid w:val="3A4B618D"/>
    <w:rsid w:val="3A541839"/>
    <w:rsid w:val="3A683CF4"/>
    <w:rsid w:val="3A6D7396"/>
    <w:rsid w:val="3A866E53"/>
    <w:rsid w:val="3A904014"/>
    <w:rsid w:val="3A96013B"/>
    <w:rsid w:val="3A994CE3"/>
    <w:rsid w:val="3AA0106D"/>
    <w:rsid w:val="3AA81763"/>
    <w:rsid w:val="3AAF6D31"/>
    <w:rsid w:val="3B452BBA"/>
    <w:rsid w:val="3B8C6A1E"/>
    <w:rsid w:val="3B977E42"/>
    <w:rsid w:val="3BBF7944"/>
    <w:rsid w:val="3BCE554D"/>
    <w:rsid w:val="3BE4609F"/>
    <w:rsid w:val="3C491B6B"/>
    <w:rsid w:val="3C686BF7"/>
    <w:rsid w:val="3C8C2BC5"/>
    <w:rsid w:val="3C9B3A0A"/>
    <w:rsid w:val="3CA80C69"/>
    <w:rsid w:val="3CB547A6"/>
    <w:rsid w:val="3D1B6DFC"/>
    <w:rsid w:val="3D3B1414"/>
    <w:rsid w:val="3D784A4B"/>
    <w:rsid w:val="3DA66C8E"/>
    <w:rsid w:val="3DD5344F"/>
    <w:rsid w:val="3E126574"/>
    <w:rsid w:val="3E185695"/>
    <w:rsid w:val="3E212561"/>
    <w:rsid w:val="3E261EFC"/>
    <w:rsid w:val="3E2705AF"/>
    <w:rsid w:val="3E7C6270"/>
    <w:rsid w:val="3EA115E5"/>
    <w:rsid w:val="3EBA5C8E"/>
    <w:rsid w:val="3ED47BEC"/>
    <w:rsid w:val="3F0B2EA0"/>
    <w:rsid w:val="3F0F5D39"/>
    <w:rsid w:val="3F193CA3"/>
    <w:rsid w:val="3F2B2923"/>
    <w:rsid w:val="3F3C1078"/>
    <w:rsid w:val="3F4168C2"/>
    <w:rsid w:val="3F6B3503"/>
    <w:rsid w:val="3F6C2B95"/>
    <w:rsid w:val="3FAA090B"/>
    <w:rsid w:val="3FB35CDE"/>
    <w:rsid w:val="3FC25C55"/>
    <w:rsid w:val="3FC90D91"/>
    <w:rsid w:val="3FFA159D"/>
    <w:rsid w:val="401365FA"/>
    <w:rsid w:val="40875FDB"/>
    <w:rsid w:val="40BB28E5"/>
    <w:rsid w:val="40D4310A"/>
    <w:rsid w:val="40FE1D24"/>
    <w:rsid w:val="411340CE"/>
    <w:rsid w:val="411E403A"/>
    <w:rsid w:val="414257C2"/>
    <w:rsid w:val="4184301E"/>
    <w:rsid w:val="418A4550"/>
    <w:rsid w:val="41930DD9"/>
    <w:rsid w:val="422A6CED"/>
    <w:rsid w:val="42445908"/>
    <w:rsid w:val="424C1674"/>
    <w:rsid w:val="426109D3"/>
    <w:rsid w:val="42B70915"/>
    <w:rsid w:val="42B74B72"/>
    <w:rsid w:val="42C52847"/>
    <w:rsid w:val="43020EC3"/>
    <w:rsid w:val="43101257"/>
    <w:rsid w:val="432426B0"/>
    <w:rsid w:val="43523221"/>
    <w:rsid w:val="43652248"/>
    <w:rsid w:val="43820EB2"/>
    <w:rsid w:val="439370B4"/>
    <w:rsid w:val="43A40FBD"/>
    <w:rsid w:val="43DB1093"/>
    <w:rsid w:val="441E68AE"/>
    <w:rsid w:val="44396B1A"/>
    <w:rsid w:val="444E7EBC"/>
    <w:rsid w:val="44545ED0"/>
    <w:rsid w:val="44570E77"/>
    <w:rsid w:val="44735770"/>
    <w:rsid w:val="44A357B1"/>
    <w:rsid w:val="44BA514C"/>
    <w:rsid w:val="44C70264"/>
    <w:rsid w:val="44C84B4E"/>
    <w:rsid w:val="44E34A51"/>
    <w:rsid w:val="459D1D1B"/>
    <w:rsid w:val="45DB46FE"/>
    <w:rsid w:val="45E635BF"/>
    <w:rsid w:val="460074D7"/>
    <w:rsid w:val="464F5372"/>
    <w:rsid w:val="46851131"/>
    <w:rsid w:val="46D42C98"/>
    <w:rsid w:val="46F65FF0"/>
    <w:rsid w:val="47B168E8"/>
    <w:rsid w:val="47F4796F"/>
    <w:rsid w:val="480062C3"/>
    <w:rsid w:val="48021483"/>
    <w:rsid w:val="48561630"/>
    <w:rsid w:val="485A19A3"/>
    <w:rsid w:val="485D4964"/>
    <w:rsid w:val="48A17D68"/>
    <w:rsid w:val="48B42456"/>
    <w:rsid w:val="48B57683"/>
    <w:rsid w:val="48C82E2E"/>
    <w:rsid w:val="48E76711"/>
    <w:rsid w:val="48F50E49"/>
    <w:rsid w:val="48FB780F"/>
    <w:rsid w:val="490F36BA"/>
    <w:rsid w:val="49463AFB"/>
    <w:rsid w:val="4961203A"/>
    <w:rsid w:val="496704B2"/>
    <w:rsid w:val="4979391A"/>
    <w:rsid w:val="49852383"/>
    <w:rsid w:val="49A548F5"/>
    <w:rsid w:val="49C521DE"/>
    <w:rsid w:val="49CE646D"/>
    <w:rsid w:val="49F55B6D"/>
    <w:rsid w:val="4A122EDB"/>
    <w:rsid w:val="4A1B63AB"/>
    <w:rsid w:val="4A2A7D82"/>
    <w:rsid w:val="4A367202"/>
    <w:rsid w:val="4A7B537E"/>
    <w:rsid w:val="4A8740D8"/>
    <w:rsid w:val="4AAC4BDA"/>
    <w:rsid w:val="4ADE6ABA"/>
    <w:rsid w:val="4B9F32EE"/>
    <w:rsid w:val="4BA52B93"/>
    <w:rsid w:val="4BB2423E"/>
    <w:rsid w:val="4BBB39D1"/>
    <w:rsid w:val="4BE132AB"/>
    <w:rsid w:val="4C404189"/>
    <w:rsid w:val="4C442C39"/>
    <w:rsid w:val="4C685F90"/>
    <w:rsid w:val="4C6D509A"/>
    <w:rsid w:val="4C9240AF"/>
    <w:rsid w:val="4CA300CE"/>
    <w:rsid w:val="4CB6269D"/>
    <w:rsid w:val="4CF20306"/>
    <w:rsid w:val="4CF233BA"/>
    <w:rsid w:val="4D0705A7"/>
    <w:rsid w:val="4D242ED5"/>
    <w:rsid w:val="4D452508"/>
    <w:rsid w:val="4D8A4B94"/>
    <w:rsid w:val="4D8A5674"/>
    <w:rsid w:val="4DA04FEC"/>
    <w:rsid w:val="4DA200B7"/>
    <w:rsid w:val="4DEB5302"/>
    <w:rsid w:val="4DEF766B"/>
    <w:rsid w:val="4DFB02FD"/>
    <w:rsid w:val="4DFB1C93"/>
    <w:rsid w:val="4E137539"/>
    <w:rsid w:val="4E201050"/>
    <w:rsid w:val="4E5440C9"/>
    <w:rsid w:val="4E56713E"/>
    <w:rsid w:val="4E605BB1"/>
    <w:rsid w:val="4E6812FA"/>
    <w:rsid w:val="4E726A98"/>
    <w:rsid w:val="4EA11555"/>
    <w:rsid w:val="4EA701B3"/>
    <w:rsid w:val="4EEF15E4"/>
    <w:rsid w:val="4EF55099"/>
    <w:rsid w:val="4F0005FD"/>
    <w:rsid w:val="4F553B6B"/>
    <w:rsid w:val="4F786B55"/>
    <w:rsid w:val="4F7C61C0"/>
    <w:rsid w:val="4F885D2B"/>
    <w:rsid w:val="4F907B5E"/>
    <w:rsid w:val="4FB85A78"/>
    <w:rsid w:val="4FEE1407"/>
    <w:rsid w:val="4FFE13EA"/>
    <w:rsid w:val="506E37BC"/>
    <w:rsid w:val="507705FD"/>
    <w:rsid w:val="50840D43"/>
    <w:rsid w:val="50AA47E0"/>
    <w:rsid w:val="50CF437A"/>
    <w:rsid w:val="50E06290"/>
    <w:rsid w:val="5161426C"/>
    <w:rsid w:val="518062F0"/>
    <w:rsid w:val="51CA3451"/>
    <w:rsid w:val="525F32D8"/>
    <w:rsid w:val="52605E92"/>
    <w:rsid w:val="527A589D"/>
    <w:rsid w:val="52CD1AF3"/>
    <w:rsid w:val="52E1299F"/>
    <w:rsid w:val="530867BC"/>
    <w:rsid w:val="53506B42"/>
    <w:rsid w:val="5352613B"/>
    <w:rsid w:val="536A24E0"/>
    <w:rsid w:val="53710AE1"/>
    <w:rsid w:val="53767844"/>
    <w:rsid w:val="537C4A63"/>
    <w:rsid w:val="53A462FF"/>
    <w:rsid w:val="53B74563"/>
    <w:rsid w:val="53F61116"/>
    <w:rsid w:val="53FF1F6A"/>
    <w:rsid w:val="54061D8D"/>
    <w:rsid w:val="545F3379"/>
    <w:rsid w:val="547679A9"/>
    <w:rsid w:val="54B60678"/>
    <w:rsid w:val="54C63CBB"/>
    <w:rsid w:val="55043F22"/>
    <w:rsid w:val="552801CE"/>
    <w:rsid w:val="552E7666"/>
    <w:rsid w:val="5546725B"/>
    <w:rsid w:val="554A2DE8"/>
    <w:rsid w:val="555928B1"/>
    <w:rsid w:val="556C7132"/>
    <w:rsid w:val="558366DE"/>
    <w:rsid w:val="55C661AD"/>
    <w:rsid w:val="56004989"/>
    <w:rsid w:val="5618387E"/>
    <w:rsid w:val="561E5766"/>
    <w:rsid w:val="563B4B5F"/>
    <w:rsid w:val="565D7A00"/>
    <w:rsid w:val="566D5190"/>
    <w:rsid w:val="56B32A31"/>
    <w:rsid w:val="56B8185E"/>
    <w:rsid w:val="56C73F54"/>
    <w:rsid w:val="56D53EE5"/>
    <w:rsid w:val="56D84B17"/>
    <w:rsid w:val="573E1C0D"/>
    <w:rsid w:val="57580FE8"/>
    <w:rsid w:val="57833507"/>
    <w:rsid w:val="57BA45BD"/>
    <w:rsid w:val="57C77E54"/>
    <w:rsid w:val="57E54E30"/>
    <w:rsid w:val="57F14ED1"/>
    <w:rsid w:val="580D6F1F"/>
    <w:rsid w:val="584877ED"/>
    <w:rsid w:val="584A77B6"/>
    <w:rsid w:val="585B3F1A"/>
    <w:rsid w:val="588E543F"/>
    <w:rsid w:val="58AC78CD"/>
    <w:rsid w:val="590622BD"/>
    <w:rsid w:val="590C756E"/>
    <w:rsid w:val="592B1E3C"/>
    <w:rsid w:val="59317292"/>
    <w:rsid w:val="59390232"/>
    <w:rsid w:val="59664C10"/>
    <w:rsid w:val="596A22A2"/>
    <w:rsid w:val="59A52F23"/>
    <w:rsid w:val="59C367CB"/>
    <w:rsid w:val="5A1C6A1D"/>
    <w:rsid w:val="5A5A4FB0"/>
    <w:rsid w:val="5A63198B"/>
    <w:rsid w:val="5A9E00AD"/>
    <w:rsid w:val="5A9F50C8"/>
    <w:rsid w:val="5AEC2507"/>
    <w:rsid w:val="5AED1980"/>
    <w:rsid w:val="5AF42284"/>
    <w:rsid w:val="5AF96669"/>
    <w:rsid w:val="5B0E7BC2"/>
    <w:rsid w:val="5B41048E"/>
    <w:rsid w:val="5B7652DA"/>
    <w:rsid w:val="5B7B1AD1"/>
    <w:rsid w:val="5B9211D2"/>
    <w:rsid w:val="5BCD1A8E"/>
    <w:rsid w:val="5C133668"/>
    <w:rsid w:val="5C2F7D76"/>
    <w:rsid w:val="5C340CAD"/>
    <w:rsid w:val="5C594DF3"/>
    <w:rsid w:val="5C7E3AEB"/>
    <w:rsid w:val="5C9F0FE1"/>
    <w:rsid w:val="5CB377AF"/>
    <w:rsid w:val="5CB5743A"/>
    <w:rsid w:val="5CBB315C"/>
    <w:rsid w:val="5D1E03A7"/>
    <w:rsid w:val="5D6B1282"/>
    <w:rsid w:val="5D7E7207"/>
    <w:rsid w:val="5DA54794"/>
    <w:rsid w:val="5DE571F2"/>
    <w:rsid w:val="5E2041D1"/>
    <w:rsid w:val="5E435D5B"/>
    <w:rsid w:val="5E46346E"/>
    <w:rsid w:val="5E4C619E"/>
    <w:rsid w:val="5E50299B"/>
    <w:rsid w:val="5E506086"/>
    <w:rsid w:val="5E604C26"/>
    <w:rsid w:val="5E7B23AC"/>
    <w:rsid w:val="5E8D334C"/>
    <w:rsid w:val="5EBE6CE7"/>
    <w:rsid w:val="5F180EE5"/>
    <w:rsid w:val="5F217E4A"/>
    <w:rsid w:val="5F5A7800"/>
    <w:rsid w:val="5F697F74"/>
    <w:rsid w:val="5F8B732B"/>
    <w:rsid w:val="5FF05A6E"/>
    <w:rsid w:val="5FF83147"/>
    <w:rsid w:val="600A26B4"/>
    <w:rsid w:val="601B6951"/>
    <w:rsid w:val="6043198D"/>
    <w:rsid w:val="60563B24"/>
    <w:rsid w:val="609C4D86"/>
    <w:rsid w:val="609F1A11"/>
    <w:rsid w:val="610E7EC5"/>
    <w:rsid w:val="6136468D"/>
    <w:rsid w:val="615C1B2B"/>
    <w:rsid w:val="616F7494"/>
    <w:rsid w:val="617A10FA"/>
    <w:rsid w:val="61881C02"/>
    <w:rsid w:val="619C6B90"/>
    <w:rsid w:val="61A84853"/>
    <w:rsid w:val="61B72836"/>
    <w:rsid w:val="61E641E7"/>
    <w:rsid w:val="62022F83"/>
    <w:rsid w:val="62107986"/>
    <w:rsid w:val="62175534"/>
    <w:rsid w:val="625B4824"/>
    <w:rsid w:val="625C13B6"/>
    <w:rsid w:val="62A414BE"/>
    <w:rsid w:val="62D246CA"/>
    <w:rsid w:val="62F91C6B"/>
    <w:rsid w:val="63373E33"/>
    <w:rsid w:val="63400E33"/>
    <w:rsid w:val="634E73FE"/>
    <w:rsid w:val="637A3FCD"/>
    <w:rsid w:val="63AB0158"/>
    <w:rsid w:val="63D2284D"/>
    <w:rsid w:val="63D467B7"/>
    <w:rsid w:val="63E94CAF"/>
    <w:rsid w:val="642F518B"/>
    <w:rsid w:val="644D1278"/>
    <w:rsid w:val="645A2500"/>
    <w:rsid w:val="64772C4B"/>
    <w:rsid w:val="64C00105"/>
    <w:rsid w:val="64CA4AE0"/>
    <w:rsid w:val="64DE19C2"/>
    <w:rsid w:val="65336856"/>
    <w:rsid w:val="65376C94"/>
    <w:rsid w:val="656330A7"/>
    <w:rsid w:val="658829A1"/>
    <w:rsid w:val="65FC1C34"/>
    <w:rsid w:val="66326DE1"/>
    <w:rsid w:val="666D166A"/>
    <w:rsid w:val="66A27B38"/>
    <w:rsid w:val="66EE6638"/>
    <w:rsid w:val="670A0F21"/>
    <w:rsid w:val="672F4040"/>
    <w:rsid w:val="674131AE"/>
    <w:rsid w:val="67875A5C"/>
    <w:rsid w:val="67921737"/>
    <w:rsid w:val="67B5371C"/>
    <w:rsid w:val="67BD001D"/>
    <w:rsid w:val="67C7686B"/>
    <w:rsid w:val="67D0486B"/>
    <w:rsid w:val="67DE2886"/>
    <w:rsid w:val="67F7228C"/>
    <w:rsid w:val="67F9425E"/>
    <w:rsid w:val="67FA5A99"/>
    <w:rsid w:val="681152D3"/>
    <w:rsid w:val="68561076"/>
    <w:rsid w:val="687C1DF7"/>
    <w:rsid w:val="689718E2"/>
    <w:rsid w:val="68ED6A75"/>
    <w:rsid w:val="68FF5959"/>
    <w:rsid w:val="693E2456"/>
    <w:rsid w:val="69403170"/>
    <w:rsid w:val="694C640B"/>
    <w:rsid w:val="69820EB6"/>
    <w:rsid w:val="69894F6A"/>
    <w:rsid w:val="69912070"/>
    <w:rsid w:val="69C05D8A"/>
    <w:rsid w:val="6A083F67"/>
    <w:rsid w:val="6A0C577D"/>
    <w:rsid w:val="6A1D643E"/>
    <w:rsid w:val="6A243BFD"/>
    <w:rsid w:val="6A3B19C7"/>
    <w:rsid w:val="6A482CF6"/>
    <w:rsid w:val="6A52507D"/>
    <w:rsid w:val="6A70715D"/>
    <w:rsid w:val="6ABE7805"/>
    <w:rsid w:val="6AFC003E"/>
    <w:rsid w:val="6B0766E1"/>
    <w:rsid w:val="6B3A5970"/>
    <w:rsid w:val="6B4C6E53"/>
    <w:rsid w:val="6B51487D"/>
    <w:rsid w:val="6B552594"/>
    <w:rsid w:val="6B5E7BA5"/>
    <w:rsid w:val="6B712E09"/>
    <w:rsid w:val="6B925C0F"/>
    <w:rsid w:val="6BB05186"/>
    <w:rsid w:val="6BBF5358"/>
    <w:rsid w:val="6BC90070"/>
    <w:rsid w:val="6BD821D8"/>
    <w:rsid w:val="6C07460E"/>
    <w:rsid w:val="6C2F775B"/>
    <w:rsid w:val="6C516888"/>
    <w:rsid w:val="6C601083"/>
    <w:rsid w:val="6C66230C"/>
    <w:rsid w:val="6C6C70D8"/>
    <w:rsid w:val="6C755220"/>
    <w:rsid w:val="6C7E3C09"/>
    <w:rsid w:val="6CB23AD2"/>
    <w:rsid w:val="6CD5497C"/>
    <w:rsid w:val="6CE56729"/>
    <w:rsid w:val="6CFA1963"/>
    <w:rsid w:val="6D036D87"/>
    <w:rsid w:val="6D4114AD"/>
    <w:rsid w:val="6D5A78A1"/>
    <w:rsid w:val="6D786BDA"/>
    <w:rsid w:val="6DAC157D"/>
    <w:rsid w:val="6DC5334B"/>
    <w:rsid w:val="6DDD45E2"/>
    <w:rsid w:val="6E4E646E"/>
    <w:rsid w:val="6E737F96"/>
    <w:rsid w:val="6EDA0CC8"/>
    <w:rsid w:val="6EDC7E7A"/>
    <w:rsid w:val="6EF00976"/>
    <w:rsid w:val="6EF26B77"/>
    <w:rsid w:val="6EFF51FE"/>
    <w:rsid w:val="6F350BC9"/>
    <w:rsid w:val="6F893374"/>
    <w:rsid w:val="6FBE4CEE"/>
    <w:rsid w:val="6FBF4142"/>
    <w:rsid w:val="6FC1402E"/>
    <w:rsid w:val="701D0C6E"/>
    <w:rsid w:val="705F6A24"/>
    <w:rsid w:val="706327EC"/>
    <w:rsid w:val="70807532"/>
    <w:rsid w:val="70972F38"/>
    <w:rsid w:val="70D916FD"/>
    <w:rsid w:val="70DF7F97"/>
    <w:rsid w:val="70F16C43"/>
    <w:rsid w:val="71001DBA"/>
    <w:rsid w:val="712C417C"/>
    <w:rsid w:val="713A78C1"/>
    <w:rsid w:val="715808AC"/>
    <w:rsid w:val="715B3247"/>
    <w:rsid w:val="718E30B3"/>
    <w:rsid w:val="71A64326"/>
    <w:rsid w:val="71B770E9"/>
    <w:rsid w:val="71EA003F"/>
    <w:rsid w:val="72001C5A"/>
    <w:rsid w:val="722C2AAC"/>
    <w:rsid w:val="72A801E5"/>
    <w:rsid w:val="72E61457"/>
    <w:rsid w:val="73012A92"/>
    <w:rsid w:val="73095248"/>
    <w:rsid w:val="7323484E"/>
    <w:rsid w:val="7345164F"/>
    <w:rsid w:val="736F09D6"/>
    <w:rsid w:val="73793BDB"/>
    <w:rsid w:val="7382343F"/>
    <w:rsid w:val="739D20C5"/>
    <w:rsid w:val="73A86B71"/>
    <w:rsid w:val="73AB725B"/>
    <w:rsid w:val="73EF68A0"/>
    <w:rsid w:val="73FE6554"/>
    <w:rsid w:val="74335059"/>
    <w:rsid w:val="7436630A"/>
    <w:rsid w:val="743B2D6F"/>
    <w:rsid w:val="744E2EBD"/>
    <w:rsid w:val="745E5245"/>
    <w:rsid w:val="747D77D0"/>
    <w:rsid w:val="749265A1"/>
    <w:rsid w:val="74994ABE"/>
    <w:rsid w:val="749C12A8"/>
    <w:rsid w:val="74D541B6"/>
    <w:rsid w:val="7505077C"/>
    <w:rsid w:val="750D7245"/>
    <w:rsid w:val="751C0F91"/>
    <w:rsid w:val="75376535"/>
    <w:rsid w:val="75667925"/>
    <w:rsid w:val="75A8498D"/>
    <w:rsid w:val="75E76949"/>
    <w:rsid w:val="764C2926"/>
    <w:rsid w:val="767C003B"/>
    <w:rsid w:val="76803BD5"/>
    <w:rsid w:val="76B93C56"/>
    <w:rsid w:val="76CD3734"/>
    <w:rsid w:val="77360113"/>
    <w:rsid w:val="77667677"/>
    <w:rsid w:val="77703EEA"/>
    <w:rsid w:val="7787654A"/>
    <w:rsid w:val="778B38C1"/>
    <w:rsid w:val="779530BD"/>
    <w:rsid w:val="77A56F9F"/>
    <w:rsid w:val="77DF7AA8"/>
    <w:rsid w:val="77EC0715"/>
    <w:rsid w:val="77F25EA4"/>
    <w:rsid w:val="782C26BC"/>
    <w:rsid w:val="785C6039"/>
    <w:rsid w:val="78730464"/>
    <w:rsid w:val="78861710"/>
    <w:rsid w:val="78D708D4"/>
    <w:rsid w:val="790B6163"/>
    <w:rsid w:val="79CF5EC2"/>
    <w:rsid w:val="79E306C6"/>
    <w:rsid w:val="79E75255"/>
    <w:rsid w:val="79EC4F99"/>
    <w:rsid w:val="7A0E7149"/>
    <w:rsid w:val="7A147BD6"/>
    <w:rsid w:val="7A3D6416"/>
    <w:rsid w:val="7A5B4AE0"/>
    <w:rsid w:val="7A686E7D"/>
    <w:rsid w:val="7A6E7C46"/>
    <w:rsid w:val="7A8931A6"/>
    <w:rsid w:val="7AD07DFC"/>
    <w:rsid w:val="7B087CB8"/>
    <w:rsid w:val="7B0C3F8C"/>
    <w:rsid w:val="7B2A5CF7"/>
    <w:rsid w:val="7B544FA6"/>
    <w:rsid w:val="7B655B06"/>
    <w:rsid w:val="7B8134E1"/>
    <w:rsid w:val="7BAF3A65"/>
    <w:rsid w:val="7BCB0212"/>
    <w:rsid w:val="7C030229"/>
    <w:rsid w:val="7C6D00EE"/>
    <w:rsid w:val="7C7C5CAF"/>
    <w:rsid w:val="7CA41E7E"/>
    <w:rsid w:val="7CDD1C48"/>
    <w:rsid w:val="7D0E0AB3"/>
    <w:rsid w:val="7D1032D5"/>
    <w:rsid w:val="7D44147C"/>
    <w:rsid w:val="7D4F3893"/>
    <w:rsid w:val="7D5B7BD2"/>
    <w:rsid w:val="7D965F22"/>
    <w:rsid w:val="7DAE7D28"/>
    <w:rsid w:val="7DE04C8E"/>
    <w:rsid w:val="7DE34947"/>
    <w:rsid w:val="7E19791E"/>
    <w:rsid w:val="7E4C1470"/>
    <w:rsid w:val="7E590F57"/>
    <w:rsid w:val="7E8860CD"/>
    <w:rsid w:val="7E9B65C0"/>
    <w:rsid w:val="7E9E3A3C"/>
    <w:rsid w:val="7EAF5A7B"/>
    <w:rsid w:val="7EC90C5E"/>
    <w:rsid w:val="7EE55EDC"/>
    <w:rsid w:val="7F0014E9"/>
    <w:rsid w:val="7F0333A0"/>
    <w:rsid w:val="7F3C31DB"/>
    <w:rsid w:val="7F43541A"/>
    <w:rsid w:val="7F5C139C"/>
    <w:rsid w:val="7F7F4272"/>
    <w:rsid w:val="7FAB160B"/>
    <w:rsid w:val="7FAB34FE"/>
    <w:rsid w:val="7FB94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4"/>
    <w:autoRedefine/>
    <w:qFormat/>
    <w:uiPriority w:val="0"/>
    <w:pPr>
      <w:keepNext/>
      <w:keepLines/>
      <w:spacing w:before="260" w:after="260" w:line="413" w:lineRule="auto"/>
      <w:outlineLvl w:val="1"/>
    </w:pPr>
    <w:rPr>
      <w:rFonts w:ascii="Arial" w:hAnsi="Arial" w:eastAsia="黑体"/>
      <w:b/>
      <w:sz w:val="32"/>
      <w:szCs w:val="20"/>
    </w:rPr>
  </w:style>
  <w:style w:type="paragraph" w:styleId="5">
    <w:name w:val="heading 4"/>
    <w:basedOn w:val="1"/>
    <w:next w:val="4"/>
    <w:link w:val="44"/>
    <w:autoRedefine/>
    <w:qFormat/>
    <w:uiPriority w:val="0"/>
    <w:pPr>
      <w:spacing w:before="280" w:after="290" w:line="377" w:lineRule="auto"/>
      <w:outlineLvl w:val="3"/>
    </w:pPr>
    <w:rPr>
      <w:rFonts w:ascii="Arial" w:hAnsi="Arial" w:eastAsia="黑体"/>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link w:val="43"/>
    <w:autoRedefine/>
    <w:unhideWhenUsed/>
    <w:qFormat/>
    <w:uiPriority w:val="0"/>
    <w:pPr>
      <w:ind w:firstLine="420" w:firstLineChars="200"/>
    </w:pPr>
  </w:style>
  <w:style w:type="paragraph" w:styleId="6">
    <w:name w:val="annotation text"/>
    <w:basedOn w:val="1"/>
    <w:link w:val="45"/>
    <w:autoRedefine/>
    <w:unhideWhenUsed/>
    <w:qFormat/>
    <w:uiPriority w:val="99"/>
    <w:pPr>
      <w:jc w:val="left"/>
    </w:pPr>
  </w:style>
  <w:style w:type="paragraph" w:styleId="7">
    <w:name w:val="Body Text 3"/>
    <w:basedOn w:val="1"/>
    <w:next w:val="1"/>
    <w:qFormat/>
    <w:uiPriority w:val="0"/>
    <w:rPr>
      <w:rFonts w:ascii="仿宋_GB2312" w:hAnsi="Arial" w:eastAsia="仿宋_GB2312"/>
      <w:sz w:val="32"/>
      <w:szCs w:val="32"/>
    </w:rPr>
  </w:style>
  <w:style w:type="paragraph" w:styleId="8">
    <w:name w:val="Body Text"/>
    <w:basedOn w:val="1"/>
    <w:next w:val="7"/>
    <w:link w:val="46"/>
    <w:autoRedefine/>
    <w:qFormat/>
    <w:uiPriority w:val="0"/>
    <w:rPr>
      <w:rFonts w:ascii="楷体_GB2312" w:hAnsi="Arial" w:eastAsia="楷体_GB2312"/>
      <w:kern w:val="0"/>
      <w:sz w:val="28"/>
      <w:szCs w:val="28"/>
    </w:rPr>
  </w:style>
  <w:style w:type="paragraph" w:styleId="9">
    <w:name w:val="Body Text Indent"/>
    <w:basedOn w:val="1"/>
    <w:autoRedefine/>
    <w:qFormat/>
    <w:uiPriority w:val="0"/>
    <w:pPr>
      <w:spacing w:line="720" w:lineRule="exact"/>
      <w:ind w:firstLine="734" w:firstLineChars="262"/>
    </w:pPr>
    <w:rPr>
      <w:sz w:val="28"/>
    </w:rPr>
  </w:style>
  <w:style w:type="paragraph" w:styleId="10">
    <w:name w:val="index 4"/>
    <w:basedOn w:val="1"/>
    <w:next w:val="1"/>
    <w:autoRedefine/>
    <w:unhideWhenUsed/>
    <w:qFormat/>
    <w:uiPriority w:val="99"/>
    <w:pPr>
      <w:ind w:left="600" w:leftChars="600"/>
    </w:pPr>
    <w:rPr>
      <w:rFonts w:ascii="等线" w:hAnsi="等线" w:eastAsia="等线" w:cs="宋体"/>
      <w:szCs w:val="24"/>
    </w:rPr>
  </w:style>
  <w:style w:type="paragraph" w:styleId="11">
    <w:name w:val="Plain Text"/>
    <w:basedOn w:val="1"/>
    <w:link w:val="47"/>
    <w:autoRedefine/>
    <w:qFormat/>
    <w:uiPriority w:val="0"/>
    <w:rPr>
      <w:rFonts w:ascii="宋体" w:hAnsi="Courier New"/>
      <w:kern w:val="0"/>
      <w:sz w:val="20"/>
      <w:szCs w:val="21"/>
    </w:rPr>
  </w:style>
  <w:style w:type="paragraph" w:styleId="12">
    <w:name w:val="Body Text Indent 2"/>
    <w:basedOn w:val="1"/>
    <w:autoRedefine/>
    <w:qFormat/>
    <w:uiPriority w:val="0"/>
    <w:pPr>
      <w:snapToGrid w:val="0"/>
      <w:spacing w:line="480" w:lineRule="exact"/>
      <w:ind w:firstLine="562" w:firstLineChars="200"/>
    </w:pPr>
    <w:rPr>
      <w:rFonts w:ascii="楷体_GB2312" w:eastAsia="楷体_GB2312"/>
      <w:b/>
      <w:bCs/>
      <w:kern w:val="0"/>
      <w:sz w:val="28"/>
      <w:szCs w:val="24"/>
    </w:rPr>
  </w:style>
  <w:style w:type="paragraph" w:styleId="13">
    <w:name w:val="Balloon Text"/>
    <w:basedOn w:val="1"/>
    <w:link w:val="48"/>
    <w:autoRedefine/>
    <w:unhideWhenUsed/>
    <w:qFormat/>
    <w:uiPriority w:val="99"/>
    <w:rPr>
      <w:kern w:val="0"/>
      <w:sz w:val="18"/>
      <w:szCs w:val="18"/>
    </w:rPr>
  </w:style>
  <w:style w:type="paragraph" w:styleId="14">
    <w:name w:val="footer"/>
    <w:basedOn w:val="1"/>
    <w:link w:val="49"/>
    <w:autoRedefine/>
    <w:unhideWhenUsed/>
    <w:qFormat/>
    <w:uiPriority w:val="99"/>
    <w:pPr>
      <w:tabs>
        <w:tab w:val="center" w:pos="4153"/>
        <w:tab w:val="right" w:pos="8306"/>
      </w:tabs>
      <w:snapToGrid w:val="0"/>
      <w:jc w:val="left"/>
    </w:pPr>
    <w:rPr>
      <w:kern w:val="0"/>
      <w:sz w:val="18"/>
      <w:szCs w:val="18"/>
    </w:rPr>
  </w:style>
  <w:style w:type="paragraph" w:styleId="15">
    <w:name w:val="envelope return"/>
    <w:basedOn w:val="1"/>
    <w:next w:val="16"/>
    <w:qFormat/>
    <w:uiPriority w:val="0"/>
    <w:pPr>
      <w:snapToGrid w:val="0"/>
    </w:pPr>
    <w:rPr>
      <w:rFonts w:ascii="Arial" w:hAnsi="Arial"/>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header"/>
    <w:basedOn w:val="1"/>
    <w:link w:val="50"/>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autoRedefine/>
    <w:unhideWhenUsed/>
    <w:qFormat/>
    <w:uiPriority w:val="39"/>
  </w:style>
  <w:style w:type="paragraph" w:styleId="19">
    <w:name w:val="Subtitle"/>
    <w:basedOn w:val="1"/>
    <w:next w:val="1"/>
    <w:qFormat/>
    <w:uiPriority w:val="0"/>
    <w:pPr>
      <w:spacing w:after="60"/>
      <w:jc w:val="center"/>
      <w:outlineLvl w:val="1"/>
    </w:pPr>
    <w:rPr>
      <w:rFonts w:ascii="Cambria" w:hAnsi="Cambria"/>
      <w:sz w:val="24"/>
      <w:szCs w:val="24"/>
    </w:rPr>
  </w:style>
  <w:style w:type="paragraph" w:styleId="20">
    <w:name w:val="toc 9"/>
    <w:basedOn w:val="1"/>
    <w:next w:val="1"/>
    <w:autoRedefine/>
    <w:unhideWhenUsed/>
    <w:qFormat/>
    <w:uiPriority w:val="39"/>
    <w:pPr>
      <w:ind w:left="3360"/>
    </w:pPr>
  </w:style>
  <w:style w:type="paragraph" w:styleId="21">
    <w:name w:val="Body Text 2"/>
    <w:basedOn w:val="1"/>
    <w:autoRedefine/>
    <w:qFormat/>
    <w:uiPriority w:val="0"/>
    <w:pPr>
      <w:spacing w:after="120" w:line="480" w:lineRule="auto"/>
    </w:pPr>
  </w:style>
  <w:style w:type="paragraph" w:styleId="22">
    <w:name w:val="Normal (Web)"/>
    <w:basedOn w:val="1"/>
    <w:autoRedefine/>
    <w:qFormat/>
    <w:uiPriority w:val="99"/>
    <w:pPr>
      <w:spacing w:before="100" w:beforeAutospacing="1" w:after="100" w:afterAutospacing="1"/>
      <w:jc w:val="left"/>
    </w:pPr>
    <w:rPr>
      <w:kern w:val="0"/>
      <w:sz w:val="24"/>
    </w:rPr>
  </w:style>
  <w:style w:type="paragraph" w:styleId="23">
    <w:name w:val="annotation subject"/>
    <w:basedOn w:val="6"/>
    <w:next w:val="6"/>
    <w:link w:val="51"/>
    <w:autoRedefine/>
    <w:unhideWhenUsed/>
    <w:qFormat/>
    <w:uiPriority w:val="99"/>
    <w:rPr>
      <w:b/>
      <w:bCs/>
    </w:rPr>
  </w:style>
  <w:style w:type="paragraph" w:styleId="24">
    <w:name w:val="Body Text First Indent"/>
    <w:basedOn w:val="8"/>
    <w:next w:val="25"/>
    <w:qFormat/>
    <w:uiPriority w:val="0"/>
    <w:pPr>
      <w:spacing w:line="360" w:lineRule="auto"/>
      <w:ind w:firstLine="200" w:firstLineChars="200"/>
    </w:pPr>
    <w:rPr>
      <w:rFonts w:ascii="仿宋_GB2312" w:hAnsi="Times New Roman" w:eastAsia="仿宋_GB2312"/>
      <w:sz w:val="30"/>
      <w:szCs w:val="30"/>
    </w:rPr>
  </w:style>
  <w:style w:type="paragraph" w:styleId="25">
    <w:name w:val="Body Text First Indent 2"/>
    <w:basedOn w:val="9"/>
    <w:autoRedefine/>
    <w:unhideWhenUsed/>
    <w:qFormat/>
    <w:uiPriority w:val="99"/>
    <w:pPr>
      <w:ind w:firstLine="420" w:firstLineChars="200"/>
    </w:pPr>
  </w:style>
  <w:style w:type="table" w:styleId="27">
    <w:name w:val="Table Grid"/>
    <w:basedOn w:val="26"/>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rPr>
  </w:style>
  <w:style w:type="character" w:styleId="30">
    <w:name w:val="page number"/>
    <w:autoRedefine/>
    <w:qFormat/>
    <w:uiPriority w:val="0"/>
  </w:style>
  <w:style w:type="character" w:styleId="31">
    <w:name w:val="Hyperlink"/>
    <w:autoRedefine/>
    <w:unhideWhenUsed/>
    <w:qFormat/>
    <w:uiPriority w:val="99"/>
    <w:rPr>
      <w:color w:val="0000FF"/>
      <w:u w:val="single"/>
    </w:rPr>
  </w:style>
  <w:style w:type="character" w:styleId="32">
    <w:name w:val="annotation reference"/>
    <w:autoRedefine/>
    <w:unhideWhenUsed/>
    <w:qFormat/>
    <w:uiPriority w:val="99"/>
    <w:rPr>
      <w:sz w:val="21"/>
      <w:szCs w:val="21"/>
    </w:rPr>
  </w:style>
  <w:style w:type="paragraph" w:customStyle="1" w:styleId="33">
    <w:name w:val="正文首行缩进 21"/>
    <w:basedOn w:val="34"/>
    <w:autoRedefine/>
    <w:qFormat/>
    <w:uiPriority w:val="0"/>
    <w:pPr>
      <w:ind w:firstLine="420"/>
    </w:pPr>
  </w:style>
  <w:style w:type="paragraph" w:customStyle="1" w:styleId="34">
    <w:name w:val="正文文本缩进1"/>
    <w:basedOn w:val="35"/>
    <w:autoRedefine/>
    <w:qFormat/>
    <w:uiPriority w:val="0"/>
    <w:pPr>
      <w:spacing w:line="400" w:lineRule="exact"/>
      <w:ind w:firstLine="540"/>
    </w:pPr>
    <w:rPr>
      <w:sz w:val="24"/>
    </w:rPr>
  </w:style>
  <w:style w:type="paragraph" w:customStyle="1" w:styleId="35">
    <w:name w:val="正文11"/>
    <w:next w:val="33"/>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
    <w:name w:val="正文文本11"/>
    <w:basedOn w:val="1"/>
    <w:next w:val="37"/>
    <w:autoRedefine/>
    <w:qFormat/>
    <w:uiPriority w:val="0"/>
    <w:rPr>
      <w:rFonts w:ascii="楷体_GB2312" w:hAnsi="Arial" w:eastAsia="楷体_GB2312"/>
      <w:sz w:val="28"/>
      <w:szCs w:val="28"/>
    </w:rPr>
  </w:style>
  <w:style w:type="paragraph" w:customStyle="1" w:styleId="37">
    <w:name w:val="正文文本 21"/>
    <w:basedOn w:val="1"/>
    <w:next w:val="38"/>
    <w:autoRedefine/>
    <w:qFormat/>
    <w:uiPriority w:val="0"/>
    <w:pPr>
      <w:widowControl/>
      <w:ind w:left="720" w:firstLine="5680"/>
    </w:pPr>
  </w:style>
  <w:style w:type="paragraph" w:customStyle="1" w:styleId="38">
    <w:name w:val="默认段落字体 Para Char Char Char Char Char Char Char"/>
    <w:basedOn w:val="1"/>
    <w:next w:val="39"/>
    <w:autoRedefine/>
    <w:qFormat/>
    <w:uiPriority w:val="0"/>
    <w:pPr>
      <w:ind w:firstLine="5632"/>
    </w:pPr>
  </w:style>
  <w:style w:type="paragraph" w:customStyle="1" w:styleId="39">
    <w:name w:val="样式 首行缩进:  2 字符"/>
    <w:basedOn w:val="1"/>
    <w:next w:val="40"/>
    <w:autoRedefine/>
    <w:qFormat/>
    <w:uiPriority w:val="0"/>
    <w:pPr>
      <w:spacing w:line="360" w:lineRule="auto"/>
      <w:ind w:left="480" w:firstLine="5856"/>
    </w:pPr>
  </w:style>
  <w:style w:type="paragraph" w:customStyle="1" w:styleId="40">
    <w:name w:val="样式 段后: 0.25 行"/>
    <w:basedOn w:val="1"/>
    <w:next w:val="41"/>
    <w:autoRedefine/>
    <w:qFormat/>
    <w:uiPriority w:val="0"/>
    <w:pPr>
      <w:widowControl/>
      <w:spacing w:line="300" w:lineRule="auto"/>
      <w:ind w:left="420" w:firstLine="5796"/>
    </w:pPr>
  </w:style>
  <w:style w:type="paragraph" w:customStyle="1" w:styleId="41">
    <w:name w:val="正文 New New New New New New New New New New New New New New"/>
    <w:next w:val="20"/>
    <w:autoRedefine/>
    <w:qFormat/>
    <w:uiPriority w:val="0"/>
    <w:pPr>
      <w:widowControl w:val="0"/>
      <w:ind w:firstLine="2048"/>
      <w:jc w:val="both"/>
    </w:pPr>
    <w:rPr>
      <w:rFonts w:ascii="Calibri" w:hAnsi="Calibri" w:eastAsia="宋体" w:cs="Times New Roman"/>
      <w:lang w:val="en-US" w:eastAsia="zh-CN" w:bidi="ar-SA"/>
    </w:rPr>
  </w:style>
  <w:style w:type="character" w:customStyle="1" w:styleId="42">
    <w:name w:val="标题 1 字符"/>
    <w:link w:val="2"/>
    <w:autoRedefine/>
    <w:qFormat/>
    <w:uiPriority w:val="9"/>
    <w:rPr>
      <w:b/>
      <w:bCs/>
      <w:kern w:val="44"/>
      <w:sz w:val="44"/>
      <w:szCs w:val="44"/>
    </w:rPr>
  </w:style>
  <w:style w:type="character" w:customStyle="1" w:styleId="43">
    <w:name w:val="正文缩进 字符"/>
    <w:link w:val="4"/>
    <w:autoRedefine/>
    <w:qFormat/>
    <w:uiPriority w:val="0"/>
  </w:style>
  <w:style w:type="character" w:customStyle="1" w:styleId="44">
    <w:name w:val="标题 4 字符"/>
    <w:link w:val="5"/>
    <w:autoRedefine/>
    <w:qFormat/>
    <w:uiPriority w:val="0"/>
    <w:rPr>
      <w:rFonts w:ascii="Arial" w:hAnsi="Arial" w:eastAsia="黑体" w:cs="Times New Roman"/>
      <w:b/>
      <w:bCs/>
      <w:sz w:val="28"/>
      <w:szCs w:val="28"/>
    </w:rPr>
  </w:style>
  <w:style w:type="character" w:customStyle="1" w:styleId="45">
    <w:name w:val="批注文字 字符"/>
    <w:link w:val="6"/>
    <w:autoRedefine/>
    <w:qFormat/>
    <w:uiPriority w:val="99"/>
    <w:rPr>
      <w:kern w:val="2"/>
      <w:sz w:val="21"/>
      <w:szCs w:val="22"/>
    </w:rPr>
  </w:style>
  <w:style w:type="character" w:customStyle="1" w:styleId="46">
    <w:name w:val="正文文本 字符"/>
    <w:link w:val="8"/>
    <w:autoRedefine/>
    <w:qFormat/>
    <w:uiPriority w:val="0"/>
    <w:rPr>
      <w:rFonts w:ascii="楷体_GB2312" w:hAnsi="Arial" w:eastAsia="楷体_GB2312" w:cs="Times New Roman"/>
      <w:sz w:val="28"/>
      <w:szCs w:val="28"/>
    </w:rPr>
  </w:style>
  <w:style w:type="character" w:customStyle="1" w:styleId="47">
    <w:name w:val="纯文本 字符"/>
    <w:link w:val="11"/>
    <w:autoRedefine/>
    <w:qFormat/>
    <w:uiPriority w:val="0"/>
    <w:rPr>
      <w:rFonts w:ascii="宋体" w:hAnsi="Courier New" w:eastAsia="宋体" w:cs="Times New Roman"/>
      <w:szCs w:val="21"/>
    </w:rPr>
  </w:style>
  <w:style w:type="character" w:customStyle="1" w:styleId="48">
    <w:name w:val="批注框文本 字符"/>
    <w:link w:val="13"/>
    <w:autoRedefine/>
    <w:semiHidden/>
    <w:qFormat/>
    <w:uiPriority w:val="99"/>
    <w:rPr>
      <w:sz w:val="18"/>
      <w:szCs w:val="18"/>
    </w:rPr>
  </w:style>
  <w:style w:type="character" w:customStyle="1" w:styleId="49">
    <w:name w:val="页脚 字符"/>
    <w:link w:val="14"/>
    <w:autoRedefine/>
    <w:qFormat/>
    <w:uiPriority w:val="99"/>
    <w:rPr>
      <w:sz w:val="18"/>
      <w:szCs w:val="18"/>
    </w:rPr>
  </w:style>
  <w:style w:type="character" w:customStyle="1" w:styleId="50">
    <w:name w:val="页眉 字符"/>
    <w:link w:val="17"/>
    <w:autoRedefine/>
    <w:qFormat/>
    <w:uiPriority w:val="99"/>
    <w:rPr>
      <w:sz w:val="18"/>
      <w:szCs w:val="18"/>
    </w:rPr>
  </w:style>
  <w:style w:type="character" w:customStyle="1" w:styleId="51">
    <w:name w:val="批注主题 字符"/>
    <w:link w:val="23"/>
    <w:autoRedefine/>
    <w:qFormat/>
    <w:uiPriority w:val="0"/>
  </w:style>
  <w:style w:type="character" w:customStyle="1" w:styleId="52">
    <w:name w:val="列出段落 Char"/>
    <w:link w:val="53"/>
    <w:autoRedefine/>
    <w:qFormat/>
    <w:locked/>
    <w:uiPriority w:val="0"/>
    <w:rPr>
      <w:rFonts w:ascii="Times New Roman" w:hAnsi="Times New Roman" w:eastAsia="宋体" w:cs="Times New Roman"/>
      <w:szCs w:val="24"/>
    </w:rPr>
  </w:style>
  <w:style w:type="paragraph" w:customStyle="1" w:styleId="53">
    <w:name w:val="列出段落1"/>
    <w:basedOn w:val="1"/>
    <w:link w:val="52"/>
    <w:autoRedefine/>
    <w:qFormat/>
    <w:uiPriority w:val="0"/>
    <w:pPr>
      <w:ind w:firstLine="420" w:firstLineChars="200"/>
    </w:pPr>
    <w:rPr>
      <w:kern w:val="0"/>
      <w:sz w:val="20"/>
      <w:szCs w:val="24"/>
    </w:rPr>
  </w:style>
  <w:style w:type="paragraph" w:customStyle="1" w:styleId="5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55">
    <w:name w:val="正文1"/>
    <w:basedOn w:val="1"/>
    <w:next w:val="56"/>
    <w:autoRedefine/>
    <w:qFormat/>
    <w:uiPriority w:val="0"/>
    <w:pPr>
      <w:spacing w:line="360" w:lineRule="atLeast"/>
      <w:jc w:val="left"/>
    </w:pPr>
    <w:rPr>
      <w:rFonts w:ascii="宋体" w:hAnsi="Calibri"/>
      <w:sz w:val="24"/>
      <w:szCs w:val="20"/>
    </w:rPr>
  </w:style>
  <w:style w:type="paragraph" w:customStyle="1" w:styleId="56">
    <w:name w:val="标题 31"/>
    <w:basedOn w:val="1"/>
    <w:next w:val="55"/>
    <w:autoRedefine/>
    <w:qFormat/>
    <w:uiPriority w:val="99"/>
    <w:pPr>
      <w:keepNext/>
      <w:keepLines/>
      <w:spacing w:before="260" w:after="260" w:line="416" w:lineRule="auto"/>
      <w:outlineLvl w:val="2"/>
    </w:pPr>
    <w:rPr>
      <w:b/>
      <w:bCs/>
      <w:sz w:val="32"/>
      <w:szCs w:val="32"/>
    </w:rPr>
  </w:style>
  <w:style w:type="paragraph" w:customStyle="1" w:styleId="57">
    <w:name w:val="正文文本1"/>
    <w:basedOn w:val="55"/>
    <w:next w:val="58"/>
    <w:autoRedefine/>
    <w:qFormat/>
    <w:uiPriority w:val="0"/>
    <w:pPr>
      <w:spacing w:after="120"/>
    </w:pPr>
    <w:rPr>
      <w:lang w:eastAsia="en-US"/>
    </w:rPr>
  </w:style>
  <w:style w:type="paragraph" w:customStyle="1" w:styleId="58">
    <w:name w:val="一级条标题"/>
    <w:basedOn w:val="59"/>
    <w:next w:val="60"/>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9">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60">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正文 1.1.1"/>
    <w:basedOn w:val="1"/>
    <w:next w:val="1"/>
    <w:autoRedefine/>
    <w:qFormat/>
    <w:uiPriority w:val="0"/>
    <w:pPr>
      <w:numPr>
        <w:ilvl w:val="2"/>
        <w:numId w:val="1"/>
      </w:numPr>
      <w:outlineLvl w:val="2"/>
    </w:pPr>
    <w:rPr>
      <w:rFonts w:hAnsi="宋体"/>
      <w:color w:val="FF0000"/>
    </w:rPr>
  </w:style>
  <w:style w:type="paragraph" w:customStyle="1" w:styleId="62">
    <w:name w:val="正文空2格  1."/>
    <w:basedOn w:val="1"/>
    <w:autoRedefine/>
    <w:qFormat/>
    <w:uiPriority w:val="0"/>
    <w:pPr>
      <w:ind w:firstLine="480" w:firstLineChars="200"/>
    </w:pPr>
    <w:rPr>
      <w:rFonts w:cs="宋体"/>
      <w:sz w:val="28"/>
      <w:szCs w:val="20"/>
    </w:rPr>
  </w:style>
  <w:style w:type="paragraph" w:customStyle="1" w:styleId="63">
    <w:name w:val="Char"/>
    <w:basedOn w:val="1"/>
    <w:autoRedefine/>
    <w:qFormat/>
    <w:uiPriority w:val="0"/>
    <w:pPr>
      <w:tabs>
        <w:tab w:val="left" w:pos="360"/>
      </w:tabs>
      <w:ind w:firstLine="200" w:firstLineChars="200"/>
    </w:pPr>
    <w:rPr>
      <w:sz w:val="28"/>
      <w:szCs w:val="30"/>
    </w:rPr>
  </w:style>
  <w:style w:type="paragraph" w:customStyle="1" w:styleId="64">
    <w:name w:val="正文 1.1"/>
    <w:basedOn w:val="1"/>
    <w:next w:val="61"/>
    <w:autoRedefine/>
    <w:qFormat/>
    <w:uiPriority w:val="0"/>
    <w:pPr>
      <w:numPr>
        <w:ilvl w:val="1"/>
        <w:numId w:val="1"/>
      </w:numPr>
      <w:ind w:firstLine="550"/>
      <w:outlineLvl w:val="1"/>
    </w:pPr>
    <w:rPr>
      <w:rFonts w:ascii="仿宋" w:hAnsi="仿宋"/>
      <w:b/>
    </w:rPr>
  </w:style>
  <w:style w:type="character" w:customStyle="1" w:styleId="65">
    <w:name w:val="font41"/>
    <w:autoRedefine/>
    <w:qFormat/>
    <w:uiPriority w:val="0"/>
    <w:rPr>
      <w:rFonts w:hint="eastAsia" w:ascii="宋体" w:hAnsi="宋体" w:eastAsia="宋体" w:cs="宋体"/>
      <w:color w:val="000000"/>
      <w:sz w:val="20"/>
      <w:szCs w:val="20"/>
      <w:u w:val="none"/>
    </w:rPr>
  </w:style>
  <w:style w:type="paragraph" w:customStyle="1" w:styleId="66">
    <w:name w:val="_Style 11"/>
    <w:basedOn w:val="1"/>
    <w:next w:val="67"/>
    <w:autoRedefine/>
    <w:qFormat/>
    <w:uiPriority w:val="34"/>
    <w:pPr>
      <w:ind w:firstLine="420" w:firstLineChars="200"/>
    </w:pPr>
    <w:rPr>
      <w:rFonts w:ascii="Calibri" w:hAnsi="Calibri"/>
    </w:rPr>
  </w:style>
  <w:style w:type="paragraph" w:styleId="67">
    <w:name w:val="List Paragraph"/>
    <w:basedOn w:val="1"/>
    <w:autoRedefine/>
    <w:qFormat/>
    <w:uiPriority w:val="34"/>
    <w:pPr>
      <w:ind w:left="720"/>
      <w:contextualSpacing/>
    </w:pPr>
  </w:style>
  <w:style w:type="character" w:customStyle="1" w:styleId="68">
    <w:name w:val="font11"/>
    <w:basedOn w:val="28"/>
    <w:autoRedefine/>
    <w:qFormat/>
    <w:uiPriority w:val="0"/>
    <w:rPr>
      <w:rFonts w:hint="eastAsia" w:ascii="宋体" w:hAnsi="宋体" w:eastAsia="宋体" w:cs="宋体"/>
      <w:color w:val="000000"/>
      <w:sz w:val="24"/>
      <w:szCs w:val="24"/>
      <w:u w:val="none"/>
    </w:rPr>
  </w:style>
  <w:style w:type="paragraph" w:customStyle="1" w:styleId="69">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48</Pages>
  <Words>23910</Words>
  <Characters>26025</Characters>
  <Lines>207</Lines>
  <Paragraphs>58</Paragraphs>
  <TotalTime>14</TotalTime>
  <ScaleCrop>false</ScaleCrop>
  <LinksUpToDate>false</LinksUpToDate>
  <CharactersWithSpaces>27576</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2023-06-06T01:04:00Z</dcterms:created>
  <dc:creator>admin</dc:creator>
  <cp:lastModifiedBy>Administrator</cp:lastModifiedBy>
  <cp:lastPrinted>2024-04-25T02:24:00Z</cp:lastPrinted>
  <dcterms:modified xsi:type="dcterms:W3CDTF">2024-08-05T02:26:51Z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03BE5F58D779418E91A79D2ECDB808E0_13</vt:lpwstr>
  </property>
</Properties>
</file>