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color w:val="auto"/>
        </w:rPr>
      </w:pPr>
      <w:r>
        <w:drawing>
          <wp:anchor distT="0" distB="0" distL="114300" distR="114300" simplePos="0" relativeHeight="251658240" behindDoc="1" locked="0" layoutInCell="1" allowOverlap="1">
            <wp:simplePos x="0" y="0"/>
            <wp:positionH relativeFrom="column">
              <wp:posOffset>-334645</wp:posOffset>
            </wp:positionH>
            <wp:positionV relativeFrom="paragraph">
              <wp:posOffset>33655</wp:posOffset>
            </wp:positionV>
            <wp:extent cx="2268855" cy="436880"/>
            <wp:effectExtent l="0" t="0" r="0" b="0"/>
            <wp:wrapNone/>
            <wp:docPr id="11267" name="图片 3" descr="市民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 name="图片 3" descr="市民卡"/>
                    <pic:cNvPicPr>
                      <a:picLocks noChangeAspect="1"/>
                    </pic:cNvPicPr>
                  </pic:nvPicPr>
                  <pic:blipFill>
                    <a:blip r:embed="rId6"/>
                    <a:stretch>
                      <a:fillRect/>
                    </a:stretch>
                  </pic:blipFill>
                  <pic:spPr>
                    <a:xfrm>
                      <a:off x="0" y="0"/>
                      <a:ext cx="2268855" cy="436880"/>
                    </a:xfrm>
                    <a:prstGeom prst="rect">
                      <a:avLst/>
                    </a:prstGeom>
                    <a:noFill/>
                    <a:ln w="9525">
                      <a:noFill/>
                    </a:ln>
                  </pic:spPr>
                </pic:pic>
              </a:graphicData>
            </a:graphic>
          </wp:anchor>
        </w:drawing>
      </w:r>
    </w:p>
    <w:p>
      <w:pPr>
        <w:pStyle w:val="2"/>
        <w:rPr>
          <w:rFonts w:hint="eastAsia"/>
          <w:color w:val="auto"/>
        </w:rPr>
      </w:pPr>
    </w:p>
    <w:p>
      <w:pPr>
        <w:snapToGrid w:val="0"/>
        <w:spacing w:line="312" w:lineRule="auto"/>
        <w:ind w:left="560" w:firstLine="0" w:firstLineChars="0"/>
        <w:jc w:val="center"/>
        <w:rPr>
          <w:rFonts w:hint="eastAsia" w:ascii="宋体" w:hAnsi="宋体" w:cs="宋体"/>
          <w:b/>
          <w:color w:val="auto"/>
          <w:kern w:val="0"/>
          <w:sz w:val="56"/>
          <w:szCs w:val="56"/>
        </w:rPr>
      </w:pPr>
    </w:p>
    <w:p>
      <w:pPr>
        <w:snapToGrid w:val="0"/>
        <w:spacing w:line="312" w:lineRule="auto"/>
        <w:ind w:left="0" w:firstLine="0" w:firstLineChars="0"/>
        <w:jc w:val="center"/>
        <w:outlineLvl w:val="0"/>
        <w:rPr>
          <w:rFonts w:hint="eastAsia" w:ascii="方正小标宋_GBK" w:hAnsi="方正小标宋_GBK" w:eastAsia="方正小标宋_GBK" w:cs="方正小标宋_GBK"/>
          <w:b w:val="0"/>
          <w:bCs/>
          <w:color w:val="auto"/>
          <w:kern w:val="0"/>
          <w:sz w:val="56"/>
          <w:szCs w:val="56"/>
          <w:lang w:eastAsia="zh-CN"/>
        </w:rPr>
      </w:pPr>
      <w:r>
        <w:rPr>
          <w:rFonts w:hint="eastAsia" w:ascii="方正小标宋_GBK" w:hAnsi="方正小标宋_GBK" w:eastAsia="方正小标宋_GBK" w:cs="方正小标宋_GBK"/>
          <w:b w:val="0"/>
          <w:bCs/>
          <w:color w:val="auto"/>
          <w:kern w:val="0"/>
          <w:sz w:val="56"/>
          <w:szCs w:val="56"/>
          <w:lang w:eastAsia="zh-CN"/>
        </w:rPr>
        <w:t>扬州市民卡公司</w:t>
      </w:r>
    </w:p>
    <w:p>
      <w:pPr>
        <w:snapToGrid w:val="0"/>
        <w:spacing w:line="312" w:lineRule="auto"/>
        <w:ind w:left="0" w:firstLine="0" w:firstLineChars="0"/>
        <w:jc w:val="center"/>
        <w:outlineLvl w:val="0"/>
        <w:rPr>
          <w:rFonts w:hint="eastAsia" w:ascii="方正小标宋_GBK" w:hAnsi="方正小标宋_GBK" w:eastAsia="方正小标宋_GBK" w:cs="方正小标宋_GBK"/>
          <w:b w:val="0"/>
          <w:bCs/>
          <w:color w:val="auto"/>
          <w:kern w:val="0"/>
          <w:sz w:val="56"/>
          <w:szCs w:val="56"/>
          <w:lang w:eastAsia="zh-CN"/>
        </w:rPr>
      </w:pPr>
      <w:r>
        <w:rPr>
          <w:rFonts w:hint="eastAsia" w:ascii="方正小标宋_GBK" w:hAnsi="方正小标宋_GBK" w:eastAsia="方正小标宋_GBK" w:cs="方正小标宋_GBK"/>
          <w:b w:val="0"/>
          <w:bCs/>
          <w:color w:val="auto"/>
          <w:kern w:val="0"/>
          <w:sz w:val="56"/>
          <w:szCs w:val="56"/>
          <w:lang w:eastAsia="zh-CN"/>
        </w:rPr>
        <w:t>智能客服管理系统</w:t>
      </w:r>
      <w:r>
        <w:rPr>
          <w:rFonts w:hint="eastAsia" w:ascii="方正小标宋_GBK" w:hAnsi="方正小标宋_GBK" w:eastAsia="方正小标宋_GBK" w:cs="方正小标宋_GBK"/>
          <w:b w:val="0"/>
          <w:bCs/>
          <w:color w:val="auto"/>
          <w:kern w:val="0"/>
          <w:sz w:val="56"/>
          <w:szCs w:val="56"/>
        </w:rPr>
        <w:t>采购</w:t>
      </w:r>
      <w:r>
        <w:rPr>
          <w:rFonts w:hint="eastAsia" w:ascii="方正小标宋_GBK" w:hAnsi="方正小标宋_GBK" w:eastAsia="方正小标宋_GBK" w:cs="方正小标宋_GBK"/>
          <w:b w:val="0"/>
          <w:bCs/>
          <w:color w:val="auto"/>
          <w:kern w:val="0"/>
          <w:sz w:val="56"/>
          <w:szCs w:val="56"/>
          <w:lang w:eastAsia="zh-CN"/>
        </w:rPr>
        <w:t>项目</w:t>
      </w:r>
    </w:p>
    <w:p>
      <w:pPr>
        <w:jc w:val="center"/>
        <w:rPr>
          <w:rFonts w:hint="eastAsia" w:ascii="宋体" w:hAnsi="宋体"/>
          <w:color w:val="000000"/>
          <w:sz w:val="36"/>
        </w:rPr>
      </w:pPr>
    </w:p>
    <w:p>
      <w:pPr>
        <w:snapToGrid w:val="0"/>
        <w:spacing w:line="312" w:lineRule="auto"/>
        <w:rPr>
          <w:rFonts w:hint="eastAsia" w:ascii="宋体" w:hAnsi="宋体" w:cs="宋体"/>
          <w:color w:val="auto"/>
          <w:kern w:val="0"/>
        </w:rPr>
      </w:pPr>
    </w:p>
    <w:p>
      <w:pPr>
        <w:snapToGrid w:val="0"/>
        <w:spacing w:line="312" w:lineRule="auto"/>
        <w:ind w:left="0" w:firstLine="0" w:firstLineChars="0"/>
        <w:jc w:val="center"/>
        <w:outlineLvl w:val="0"/>
        <w:rPr>
          <w:rFonts w:hint="eastAsia" w:ascii="方正仿宋_GBK" w:hAnsi="方正仿宋_GBK" w:eastAsia="方正仿宋_GBK" w:cs="方正仿宋_GBK"/>
          <w:b/>
          <w:color w:val="auto"/>
          <w:kern w:val="0"/>
          <w:sz w:val="56"/>
          <w:szCs w:val="56"/>
        </w:rPr>
      </w:pPr>
      <w:r>
        <w:rPr>
          <w:rFonts w:hint="eastAsia" w:ascii="方正仿宋_GBK" w:hAnsi="方正仿宋_GBK" w:eastAsia="方正仿宋_GBK" w:cs="方正仿宋_GBK"/>
          <w:b/>
          <w:color w:val="auto"/>
          <w:kern w:val="0"/>
          <w:sz w:val="56"/>
          <w:szCs w:val="56"/>
        </w:rPr>
        <w:t>招标文件</w:t>
      </w:r>
    </w:p>
    <w:p>
      <w:pPr>
        <w:snapToGrid w:val="0"/>
        <w:spacing w:line="312" w:lineRule="auto"/>
        <w:ind w:firstLine="0" w:firstLineChars="0"/>
        <w:jc w:val="center"/>
        <w:outlineLvl w:val="1"/>
        <w:rPr>
          <w:rFonts w:hint="eastAsia" w:ascii="方正仿宋_GBK" w:hAnsi="方正仿宋_GBK" w:eastAsia="方正仿宋_GBK" w:cs="方正仿宋_GBK"/>
          <w:b/>
          <w:color w:val="auto"/>
          <w:kern w:val="0"/>
          <w:sz w:val="56"/>
          <w:szCs w:val="56"/>
          <w:lang w:val="en-US" w:eastAsia="zh-CN"/>
        </w:rPr>
      </w:pPr>
      <w:r>
        <w:rPr>
          <w:rFonts w:hint="eastAsia" w:ascii="方正仿宋_GBK" w:hAnsi="方正仿宋_GBK" w:eastAsia="方正仿宋_GBK" w:cs="方正仿宋_GBK"/>
          <w:color w:val="auto"/>
          <w:kern w:val="0"/>
          <w:sz w:val="36"/>
          <w:szCs w:val="36"/>
        </w:rPr>
        <w:t>招标编号：SMK-ZB-2020-006</w:t>
      </w:r>
    </w:p>
    <w:p>
      <w:pPr>
        <w:snapToGrid w:val="0"/>
        <w:spacing w:line="312" w:lineRule="auto"/>
        <w:ind w:firstLine="0" w:firstLineChars="0"/>
        <w:jc w:val="center"/>
        <w:rPr>
          <w:rFonts w:hint="eastAsia" w:ascii="方正仿宋_GBK" w:hAnsi="方正仿宋_GBK" w:eastAsia="方正仿宋_GBK" w:cs="方正仿宋_GBK"/>
          <w:color w:val="auto"/>
          <w:kern w:val="0"/>
        </w:rPr>
      </w:pPr>
    </w:p>
    <w:p>
      <w:pPr>
        <w:pStyle w:val="40"/>
        <w:snapToGrid w:val="0"/>
        <w:spacing w:line="312" w:lineRule="auto"/>
        <w:jc w:val="center"/>
        <w:rPr>
          <w:rFonts w:hint="eastAsia" w:ascii="方正仿宋_GBK" w:hAnsi="方正仿宋_GBK" w:eastAsia="方正仿宋_GBK" w:cs="方正仿宋_GBK"/>
          <w:color w:val="auto"/>
          <w:lang w:eastAsia="zh-CN"/>
        </w:rPr>
      </w:pPr>
    </w:p>
    <w:p>
      <w:pPr>
        <w:snapToGrid w:val="0"/>
        <w:spacing w:line="312" w:lineRule="auto"/>
        <w:ind w:firstLine="0" w:firstLineChars="0"/>
        <w:jc w:val="both"/>
        <w:rPr>
          <w:rFonts w:hint="eastAsia" w:ascii="方正仿宋_GBK" w:hAnsi="方正仿宋_GBK" w:eastAsia="方正仿宋_GBK" w:cs="方正仿宋_GBK"/>
          <w:color w:val="auto"/>
          <w:kern w:val="0"/>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firstLine="0" w:firstLineChars="0"/>
        <w:rPr>
          <w:rFonts w:hint="eastAsia"/>
        </w:rPr>
      </w:pPr>
    </w:p>
    <w:p>
      <w:pPr>
        <w:snapToGrid w:val="0"/>
        <w:ind w:firstLine="0" w:firstLineChars="0"/>
        <w:jc w:val="center"/>
        <w:rPr>
          <w:rFonts w:hint="eastAsia" w:ascii="方正仿宋_GBK" w:hAnsi="方正仿宋_GBK" w:eastAsia="方正仿宋_GBK" w:cs="方正仿宋_GBK"/>
          <w:color w:val="auto"/>
          <w:kern w:val="0"/>
          <w:sz w:val="32"/>
          <w:szCs w:val="32"/>
        </w:rPr>
      </w:pPr>
    </w:p>
    <w:p>
      <w:pPr>
        <w:snapToGrid w:val="0"/>
        <w:ind w:firstLine="0" w:firstLineChars="0"/>
        <w:jc w:val="center"/>
        <w:outlineLvl w:val="2"/>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招标人：扬州市民卡有限责任公司</w:t>
      </w:r>
    </w:p>
    <w:p>
      <w:pPr>
        <w:pStyle w:val="40"/>
        <w:snapToGrid w:val="0"/>
        <w:jc w:val="center"/>
        <w:rPr>
          <w:rFonts w:hint="eastAsia" w:ascii="方正仿宋_GBK" w:hAnsi="方正仿宋_GBK" w:eastAsia="方正仿宋_GBK" w:cs="方正仿宋_GBK"/>
          <w:color w:val="auto"/>
          <w:lang w:eastAsia="zh-CN"/>
        </w:rPr>
      </w:pPr>
    </w:p>
    <w:p>
      <w:pPr>
        <w:snapToGrid w:val="0"/>
        <w:ind w:firstLine="0" w:firstLineChars="0"/>
        <w:jc w:val="center"/>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招标代理机构：扬州市嘉诚造价咨询有限公司</w:t>
      </w:r>
    </w:p>
    <w:p>
      <w:pPr>
        <w:snapToGrid w:val="0"/>
        <w:ind w:firstLine="0" w:firstLineChars="0"/>
        <w:jc w:val="center"/>
        <w:rPr>
          <w:rStyle w:val="86"/>
          <w:rFonts w:hint="eastAsia"/>
          <w:color w:val="auto"/>
          <w:lang w:val="en-US" w:eastAsia="zh-CN"/>
        </w:rPr>
      </w:pPr>
      <w:bookmarkStart w:id="0" w:name="_Toc24380"/>
      <w:bookmarkStart w:id="1" w:name="_Toc4316"/>
      <w:bookmarkStart w:id="2" w:name="_Toc40699918"/>
      <w:bookmarkStart w:id="3" w:name="_Toc4957"/>
      <w:bookmarkStart w:id="4" w:name="_Toc47023082"/>
      <w:r>
        <w:rPr>
          <w:rStyle w:val="86"/>
          <w:rFonts w:hint="eastAsia"/>
          <w:color w:val="auto"/>
          <w:lang w:val="en-US" w:eastAsia="zh-CN"/>
        </w:rPr>
        <w:t xml:space="preserve"> 第一章 投标人须知</w:t>
      </w:r>
      <w:bookmarkEnd w:id="0"/>
      <w:bookmarkEnd w:id="1"/>
      <w:bookmarkEnd w:id="2"/>
      <w:bookmarkEnd w:id="3"/>
      <w:bookmarkEnd w:id="4"/>
    </w:p>
    <w:p>
      <w:pPr>
        <w:pStyle w:val="4"/>
        <w:bidi w:val="0"/>
        <w:rPr>
          <w:rFonts w:hint="eastAsia"/>
          <w:color w:val="auto"/>
        </w:rPr>
      </w:pPr>
      <w:bookmarkStart w:id="5" w:name="_Toc3287"/>
      <w:bookmarkStart w:id="6" w:name="_Toc9542"/>
      <w:bookmarkStart w:id="7" w:name="_Toc40699919"/>
      <w:bookmarkStart w:id="8" w:name="_Toc6245"/>
      <w:bookmarkStart w:id="9" w:name="_Toc47023083"/>
      <w:bookmarkStart w:id="10" w:name="_Toc47023085"/>
      <w:bookmarkStart w:id="11" w:name="_Toc11015"/>
      <w:bookmarkStart w:id="12" w:name="_Toc27882"/>
      <w:bookmarkStart w:id="13" w:name="_Toc27112"/>
      <w:bookmarkStart w:id="14" w:name="_Toc40699921"/>
      <w:bookmarkStart w:id="15" w:name="_Toc10270"/>
      <w:r>
        <w:rPr>
          <w:rFonts w:hint="eastAsia"/>
          <w:color w:val="auto"/>
        </w:rPr>
        <w:t>投标人须知前附表</w:t>
      </w:r>
      <w:bookmarkEnd w:id="5"/>
      <w:bookmarkEnd w:id="6"/>
      <w:bookmarkEnd w:id="7"/>
      <w:bookmarkEnd w:id="8"/>
      <w:bookmarkEnd w:id="9"/>
    </w:p>
    <w:tbl>
      <w:tblPr>
        <w:tblStyle w:val="30"/>
        <w:tblpPr w:leftFromText="180" w:rightFromText="180" w:vertAnchor="text" w:horzAnchor="page" w:tblpX="1768" w:tblpY="519"/>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5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noWrap w:val="0"/>
            <w:vAlign w:val="center"/>
          </w:tcPr>
          <w:p>
            <w:pPr>
              <w:snapToGrid w:val="0"/>
              <w:ind w:firstLine="0" w:firstLineChars="0"/>
              <w:jc w:val="center"/>
              <w:rPr>
                <w:rFonts w:hint="eastAsia" w:ascii="宋体" w:hAnsi="宋体" w:cs="宋体"/>
                <w:b/>
                <w:color w:val="auto"/>
                <w:kern w:val="0"/>
                <w:highlight w:val="none"/>
              </w:rPr>
            </w:pPr>
            <w:r>
              <w:rPr>
                <w:rFonts w:hint="eastAsia" w:ascii="宋体" w:hAnsi="宋体" w:cs="宋体"/>
                <w:b/>
                <w:color w:val="auto"/>
                <w:kern w:val="0"/>
                <w:highlight w:val="none"/>
              </w:rPr>
              <w:t>条款号</w:t>
            </w:r>
          </w:p>
        </w:tc>
        <w:tc>
          <w:tcPr>
            <w:tcW w:w="1843" w:type="dxa"/>
            <w:noWrap w:val="0"/>
            <w:vAlign w:val="center"/>
          </w:tcPr>
          <w:p>
            <w:pPr>
              <w:snapToGrid w:val="0"/>
              <w:ind w:firstLine="0" w:firstLineChars="0"/>
              <w:jc w:val="center"/>
              <w:rPr>
                <w:rFonts w:hint="eastAsia" w:ascii="宋体" w:hAnsi="宋体" w:cs="宋体"/>
                <w:b/>
                <w:color w:val="auto"/>
                <w:kern w:val="0"/>
                <w:highlight w:val="none"/>
              </w:rPr>
            </w:pPr>
            <w:r>
              <w:rPr>
                <w:rFonts w:hint="eastAsia" w:ascii="宋体" w:hAnsi="宋体" w:cs="宋体"/>
                <w:b/>
                <w:color w:val="auto"/>
                <w:kern w:val="0"/>
                <w:highlight w:val="none"/>
              </w:rPr>
              <w:t>条款名称</w:t>
            </w:r>
          </w:p>
        </w:tc>
        <w:tc>
          <w:tcPr>
            <w:tcW w:w="5726" w:type="dxa"/>
            <w:noWrap w:val="0"/>
            <w:vAlign w:val="center"/>
          </w:tcPr>
          <w:p>
            <w:pPr>
              <w:snapToGrid w:val="0"/>
              <w:ind w:firstLine="0" w:firstLineChars="0"/>
              <w:jc w:val="center"/>
              <w:rPr>
                <w:rFonts w:hint="eastAsia" w:ascii="宋体" w:hAnsi="宋体" w:cs="宋体"/>
                <w:b/>
                <w:color w:val="auto"/>
                <w:kern w:val="0"/>
                <w:highlight w:val="none"/>
              </w:rPr>
            </w:pPr>
            <w:r>
              <w:rPr>
                <w:rFonts w:hint="eastAsia" w:ascii="宋体" w:hAnsi="宋体" w:cs="宋体"/>
                <w:b/>
                <w:color w:val="auto"/>
                <w:kern w:val="0"/>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1.1.1</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招标人</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名称：详见招标公告第</w:t>
            </w:r>
            <w:r>
              <w:rPr>
                <w:rFonts w:hint="eastAsia" w:ascii="宋体" w:hAnsi="宋体" w:cs="宋体"/>
                <w:color w:val="auto"/>
                <w:kern w:val="0"/>
                <w:highlight w:val="none"/>
                <w:lang w:val="en-US" w:eastAsia="zh-CN"/>
              </w:rPr>
              <w:t>九</w:t>
            </w:r>
            <w:r>
              <w:rPr>
                <w:rFonts w:hint="eastAsia" w:ascii="宋体" w:hAnsi="宋体" w:cs="宋体"/>
                <w:color w:val="auto"/>
                <w:kern w:val="0"/>
                <w:highlight w:val="none"/>
              </w:rPr>
              <w:t xml:space="preserve">条  </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 xml:space="preserve">地址：详见招标公告第九条  </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联系人：详见招标公告</w:t>
            </w:r>
            <w:bookmarkStart w:id="286" w:name="_GoBack"/>
            <w:bookmarkEnd w:id="286"/>
            <w:r>
              <w:rPr>
                <w:rFonts w:hint="eastAsia" w:ascii="宋体" w:hAnsi="宋体" w:cs="宋体"/>
                <w:color w:val="auto"/>
                <w:kern w:val="0"/>
                <w:highlight w:val="none"/>
              </w:rPr>
              <w:t xml:space="preserve">第九条 </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 xml:space="preserve">电话：详见招标公告第九条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1.1.2</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招标代理机构</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 xml:space="preserve">名称：详见招标公告第九条  </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 xml:space="preserve">地址：详见招标公告第九条  </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 xml:space="preserve">联系人：详见招标公告第九条  </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 xml:space="preserve">电话：详见招标公告第九条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1.1.3</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招标项目名称</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 xml:space="preserve">详见招标公告第一条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1.1.4</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工程项目名称</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1.2.1</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资金来源及比例</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 xml:space="preserve">详见招标公告第一条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1.2.2</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资金落实情况</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1.3.1</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招标范围</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lang w:eastAsia="zh-CN"/>
              </w:rPr>
              <w:t>扬州市民卡公司智能客服管理系统</w:t>
            </w:r>
            <w:r>
              <w:rPr>
                <w:rFonts w:hint="eastAsia" w:ascii="宋体" w:hAnsi="宋体" w:cs="宋体"/>
                <w:color w:val="auto"/>
                <w:kern w:val="0"/>
                <w:highlight w:val="none"/>
              </w:rPr>
              <w:t>采购</w:t>
            </w:r>
          </w:p>
          <w:p>
            <w:pPr>
              <w:snapToGrid w:val="0"/>
              <w:ind w:firstLine="0" w:firstLineChars="0"/>
              <w:rPr>
                <w:rFonts w:hint="default" w:ascii="宋体" w:hAnsi="宋体" w:eastAsia="宋体" w:cs="宋体"/>
                <w:color w:val="auto"/>
                <w:kern w:val="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1.3.2</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交货期</w:t>
            </w:r>
          </w:p>
        </w:tc>
        <w:tc>
          <w:tcPr>
            <w:tcW w:w="5726" w:type="dxa"/>
            <w:noWrap w:val="0"/>
            <w:vAlign w:val="center"/>
          </w:tcPr>
          <w:p>
            <w:pPr>
              <w:snapToGrid w:val="0"/>
              <w:ind w:firstLine="0" w:firstLineChars="0"/>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45个自然日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1.3.3</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免费维保期</w:t>
            </w:r>
          </w:p>
        </w:tc>
        <w:tc>
          <w:tcPr>
            <w:tcW w:w="5726" w:type="dxa"/>
            <w:noWrap w:val="0"/>
            <w:vAlign w:val="center"/>
          </w:tcPr>
          <w:p>
            <w:pPr>
              <w:snapToGrid w:val="0"/>
              <w:ind w:firstLine="0" w:firstLineChars="0"/>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1.3.4</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技术性能指标</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详见第</w:t>
            </w:r>
            <w:r>
              <w:rPr>
                <w:rFonts w:hint="eastAsia" w:ascii="宋体" w:hAnsi="宋体" w:cs="宋体"/>
                <w:color w:val="auto"/>
                <w:kern w:val="0"/>
                <w:highlight w:val="none"/>
                <w:lang w:val="en-US" w:eastAsia="zh-CN"/>
              </w:rPr>
              <w:t>四</w:t>
            </w:r>
            <w:r>
              <w:rPr>
                <w:rFonts w:hint="eastAsia" w:ascii="宋体" w:hAnsi="宋体" w:cs="宋体"/>
                <w:color w:val="auto"/>
                <w:kern w:val="0"/>
                <w:highlight w:val="none"/>
              </w:rPr>
              <w:t xml:space="preserve">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1.4.1</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投标人资质条件、能力、信誉</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 xml:space="preserve">详见招标公告第三条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1.4.2</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是否接受联合体投标</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 xml:space="preserve">详见招标公告第三条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1.4.3</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投标人不得存在的其他情形</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1.5.1</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投标预备会</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sz w:val="24"/>
                <w:szCs w:val="24"/>
                <w:highlight w:val="none"/>
                <w:shd w:val="clear" w:color="auto" w:fill="FFFFFF"/>
              </w:rPr>
              <w:t>■</w:t>
            </w:r>
            <w:r>
              <w:rPr>
                <w:rFonts w:hint="eastAsia" w:ascii="宋体" w:hAnsi="宋体" w:cs="宋体"/>
                <w:color w:val="auto"/>
                <w:kern w:val="0"/>
                <w:highlight w:val="none"/>
              </w:rPr>
              <w:t>不召开</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□召开，召开时间：</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1.5.2</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招标文件澄清</w:t>
            </w:r>
          </w:p>
        </w:tc>
        <w:tc>
          <w:tcPr>
            <w:tcW w:w="5726" w:type="dxa"/>
            <w:noWrap w:val="0"/>
            <w:vAlign w:val="center"/>
          </w:tcPr>
          <w:p>
            <w:pPr>
              <w:snapToGrid w:val="0"/>
              <w:rPr>
                <w:rFonts w:hint="eastAsia" w:ascii="宋体" w:hAnsi="宋体" w:cs="宋体"/>
                <w:color w:val="auto"/>
                <w:kern w:val="0"/>
                <w:highlight w:val="none"/>
              </w:rPr>
            </w:pPr>
            <w:r>
              <w:rPr>
                <w:rFonts w:hint="eastAsia" w:ascii="宋体" w:hAnsi="宋体" w:cs="宋体"/>
                <w:color w:val="auto"/>
                <w:kern w:val="0"/>
                <w:highlight w:val="none"/>
              </w:rPr>
              <w:t>任何要求对招标文件澄清的投标人，均应及时通过邮件方式提出，采购代理机构对规定时间内收到的澄清将予以答复，答复不包括问题的来源。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1.5.3</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招标文件澄清发出的形式</w:t>
            </w:r>
          </w:p>
        </w:tc>
        <w:tc>
          <w:tcPr>
            <w:tcW w:w="5726" w:type="dxa"/>
            <w:noWrap w:val="0"/>
            <w:vAlign w:val="center"/>
          </w:tcPr>
          <w:p>
            <w:pPr>
              <w:snapToGrid w:val="0"/>
              <w:rPr>
                <w:rFonts w:hint="eastAsia" w:ascii="宋体" w:hAnsi="宋体" w:cs="宋体"/>
                <w:color w:val="auto"/>
                <w:kern w:val="0"/>
                <w:highlight w:val="none"/>
              </w:rPr>
            </w:pPr>
            <w:r>
              <w:rPr>
                <w:rFonts w:hint="eastAsia" w:ascii="宋体" w:hAnsi="宋体" w:cs="宋体"/>
                <w:color w:val="auto"/>
                <w:kern w:val="0"/>
                <w:highlight w:val="none"/>
              </w:rPr>
              <w:t>通过</w:t>
            </w:r>
            <w:r>
              <w:rPr>
                <w:rFonts w:hint="eastAsia" w:ascii="宋体" w:hAnsi="宋体" w:cs="宋体"/>
                <w:color w:val="auto"/>
                <w:kern w:val="0"/>
                <w:highlight w:val="none"/>
                <w:u w:val="single"/>
              </w:rPr>
              <w:t>扬州市城建国有资产控股</w:t>
            </w:r>
            <w:r>
              <w:rPr>
                <w:rFonts w:hint="eastAsia" w:ascii="宋体" w:hAnsi="宋体" w:cs="宋体"/>
                <w:color w:val="auto"/>
                <w:kern w:val="0"/>
                <w:highlight w:val="none"/>
                <w:u w:val="single"/>
                <w:lang w:eastAsia="zh-CN"/>
              </w:rPr>
              <w:t>（</w:t>
            </w:r>
            <w:r>
              <w:rPr>
                <w:rFonts w:hint="eastAsia" w:ascii="宋体" w:hAnsi="宋体" w:cs="宋体"/>
                <w:color w:val="auto"/>
                <w:kern w:val="0"/>
                <w:highlight w:val="none"/>
                <w:u w:val="single"/>
              </w:rPr>
              <w:t>集团）有限责任公司网站</w:t>
            </w:r>
            <w:r>
              <w:rPr>
                <w:rFonts w:hint="eastAsia" w:ascii="宋体" w:hAnsi="宋体" w:cs="宋体"/>
                <w:color w:val="auto"/>
                <w:kern w:val="0"/>
                <w:highlight w:val="none"/>
              </w:rPr>
              <w:t>平台发出。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1.6.1</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分包</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sz w:val="24"/>
                <w:szCs w:val="24"/>
                <w:highlight w:val="none"/>
                <w:shd w:val="clear" w:color="auto" w:fill="FFFFFF"/>
              </w:rPr>
              <w:t>■</w:t>
            </w:r>
            <w:r>
              <w:rPr>
                <w:rFonts w:hint="eastAsia" w:ascii="宋体" w:hAnsi="宋体" w:cs="宋体"/>
                <w:color w:val="auto"/>
                <w:kern w:val="0"/>
                <w:highlight w:val="none"/>
              </w:rPr>
              <w:t>不允许</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□允许，分包要求：部分工作内容，在征得招标人同意后可以进行合法分包。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1.6.2</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实质性要求和条件</w:t>
            </w:r>
          </w:p>
        </w:tc>
        <w:tc>
          <w:tcPr>
            <w:tcW w:w="5726" w:type="dxa"/>
            <w:noWrap w:val="0"/>
            <w:vAlign w:val="center"/>
          </w:tcPr>
          <w:p>
            <w:pPr>
              <w:snapToGrid w:val="0"/>
              <w:rPr>
                <w:rFonts w:hint="eastAsia" w:ascii="宋体" w:hAnsi="宋体" w:cs="宋体"/>
                <w:color w:val="auto"/>
                <w:kern w:val="0"/>
                <w:highlight w:val="none"/>
              </w:rPr>
            </w:pPr>
            <w:r>
              <w:rPr>
                <w:rFonts w:hint="eastAsia" w:ascii="宋体" w:hAnsi="宋体" w:cs="宋体"/>
                <w:color w:val="auto"/>
                <w:kern w:val="0"/>
                <w:highlight w:val="none"/>
              </w:rPr>
              <w:t>投标文件应当对招标文件有关交货期、投标有效期、质量要求、技术标准和要求、招标范围等实质性内容作出响应。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1.6.3</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其他可以被接受的技术支持资料</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1.6.4</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偏差</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sz w:val="24"/>
                <w:szCs w:val="24"/>
                <w:highlight w:val="none"/>
                <w:shd w:val="clear" w:color="auto" w:fill="FFFFFF"/>
              </w:rPr>
              <w:t>■</w:t>
            </w:r>
            <w:r>
              <w:rPr>
                <w:rFonts w:hint="eastAsia" w:ascii="宋体" w:hAnsi="宋体" w:cs="宋体"/>
                <w:color w:val="auto"/>
                <w:kern w:val="0"/>
                <w:highlight w:val="none"/>
              </w:rPr>
              <w:t>不允许</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□允许，偏差范围：无限制</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最高项数：无限制</w:t>
            </w:r>
          </w:p>
          <w:p>
            <w:pPr>
              <w:snapToGrid w:val="0"/>
              <w:ind w:firstLine="0" w:firstLineChars="0"/>
              <w:rPr>
                <w:rFonts w:hint="eastAsia" w:ascii="宋体" w:hAnsi="宋体" w:cs="宋体"/>
                <w:color w:val="auto"/>
                <w:kern w:val="0"/>
                <w:highlight w:val="none"/>
              </w:rPr>
            </w:pPr>
            <w:r>
              <w:rPr>
                <w:rFonts w:hint="eastAsia" w:ascii="宋体" w:hAnsi="宋体" w:cs="宋体"/>
                <w:b/>
                <w:bCs/>
                <w:color w:val="auto"/>
                <w:kern w:val="0"/>
                <w:highlight w:val="none"/>
              </w:rPr>
              <w:t>实质性要求和条件不允许偏差，非实质性要求和条件允许偏差，对非实质性要求和条件的偏差范围、最高项数无规定。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2.1</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构成招标文件的其他资料</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2.2.1</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投标人要求澄清招标文件</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时间：投标截止时间前15日</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形式：电子邮件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2.2.2</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招标文件澄清发出的形式</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通过</w:t>
            </w:r>
            <w:r>
              <w:rPr>
                <w:rFonts w:hint="eastAsia" w:ascii="宋体" w:hAnsi="宋体" w:cs="宋体"/>
                <w:color w:val="auto"/>
                <w:kern w:val="0"/>
                <w:highlight w:val="none"/>
                <w:u w:val="single"/>
              </w:rPr>
              <w:t>扬州市城建国有资产控股</w:t>
            </w:r>
            <w:r>
              <w:rPr>
                <w:rFonts w:hint="eastAsia" w:ascii="宋体" w:hAnsi="宋体" w:cs="宋体"/>
                <w:color w:val="auto"/>
                <w:kern w:val="0"/>
                <w:highlight w:val="none"/>
                <w:u w:val="single"/>
                <w:lang w:eastAsia="zh-CN"/>
              </w:rPr>
              <w:t>（</w:t>
            </w:r>
            <w:r>
              <w:rPr>
                <w:rFonts w:hint="eastAsia" w:ascii="宋体" w:hAnsi="宋体" w:cs="宋体"/>
                <w:color w:val="auto"/>
                <w:kern w:val="0"/>
                <w:highlight w:val="none"/>
                <w:u w:val="single"/>
              </w:rPr>
              <w:t>集团）有限责任公司网站</w:t>
            </w:r>
            <w:r>
              <w:rPr>
                <w:rFonts w:hint="eastAsia" w:ascii="宋体" w:hAnsi="宋体" w:cs="宋体"/>
                <w:color w:val="auto"/>
                <w:kern w:val="0"/>
                <w:highlight w:val="none"/>
              </w:rPr>
              <w:t>平台发出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2.2.3</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投标人确认收到招标文件澄清</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时间：收到后1日</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形式：电子邮件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2.3.1</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招标文件修改发出的形式</w:t>
            </w:r>
          </w:p>
        </w:tc>
        <w:tc>
          <w:tcPr>
            <w:tcW w:w="5726" w:type="dxa"/>
            <w:noWrap w:val="0"/>
            <w:vAlign w:val="center"/>
          </w:tcPr>
          <w:p>
            <w:pPr>
              <w:snapToGrid w:val="0"/>
              <w:ind w:firstLine="0" w:firstLineChars="0"/>
              <w:rPr>
                <w:rFonts w:hint="eastAsia"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2.3.2</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投标人确认收到招标文件修改</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时间：收到后1日</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形式：电子邮件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3.1.1</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构成投标文件的其他资料</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3.2.1</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增值税税金的计算方法</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按国家法律及相关规定计算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3.2.2</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最高投标限价</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□无</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sz w:val="24"/>
                <w:szCs w:val="24"/>
                <w:highlight w:val="none"/>
                <w:shd w:val="clear" w:color="auto" w:fill="FFFFFF"/>
              </w:rPr>
              <w:t>■</w:t>
            </w:r>
            <w:r>
              <w:rPr>
                <w:rFonts w:hint="eastAsia" w:ascii="宋体" w:hAnsi="宋体" w:cs="宋体"/>
                <w:color w:val="auto"/>
                <w:kern w:val="0"/>
                <w:highlight w:val="none"/>
              </w:rPr>
              <w:t>有，</w:t>
            </w:r>
            <w:r>
              <w:rPr>
                <w:rFonts w:hint="eastAsia" w:ascii="宋体" w:hAnsi="宋体" w:cs="宋体"/>
                <w:color w:val="auto"/>
                <w:kern w:val="0"/>
                <w:highlight w:val="none"/>
                <w:u w:val="single"/>
              </w:rPr>
              <w:t>最高投标限价：</w:t>
            </w:r>
            <w:r>
              <w:rPr>
                <w:rFonts w:hint="eastAsia" w:ascii="宋体" w:hAnsi="宋体" w:cs="宋体"/>
                <w:color w:val="auto"/>
                <w:kern w:val="0"/>
                <w:highlight w:val="none"/>
                <w:u w:val="single"/>
                <w:lang w:val="en-US" w:eastAsia="zh-CN"/>
              </w:rPr>
              <w:t xml:space="preserve">32 </w:t>
            </w:r>
            <w:r>
              <w:rPr>
                <w:rFonts w:hint="eastAsia" w:ascii="宋体" w:hAnsi="宋体" w:cs="宋体"/>
                <w:color w:val="auto"/>
                <w:kern w:val="0"/>
                <w:highlight w:val="none"/>
                <w:u w:val="single"/>
              </w:rPr>
              <w:t>万元</w:t>
            </w:r>
            <w:r>
              <w:rPr>
                <w:rFonts w:hint="eastAsia" w:ascii="宋体" w:hAnsi="宋体" w:cs="宋体"/>
                <w:color w:val="auto"/>
                <w:kern w:val="0"/>
                <w:highlight w:val="none"/>
              </w:rPr>
              <w:t>，投标报价超过者按否决投标处理。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3.2.3</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投标报价的其他要求</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3.3.1</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投标有效期</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3.4.1</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投标保证金</w:t>
            </w:r>
          </w:p>
        </w:tc>
        <w:tc>
          <w:tcPr>
            <w:tcW w:w="5726" w:type="dxa"/>
            <w:noWrap w:val="0"/>
            <w:vAlign w:val="center"/>
          </w:tcPr>
          <w:p>
            <w:pPr>
              <w:snapToGrid w:val="0"/>
              <w:ind w:firstLine="0" w:firstLineChars="0"/>
              <w:rPr>
                <w:rFonts w:hint="eastAsia"/>
                <w:color w:val="auto"/>
                <w:highlight w:val="none"/>
              </w:rPr>
            </w:pPr>
            <w:r>
              <w:rPr>
                <w:rFonts w:hint="eastAsia"/>
                <w:color w:val="auto"/>
                <w:highlight w:val="none"/>
              </w:rPr>
              <w:t>是否要求投标人递交投标保证金：</w:t>
            </w:r>
          </w:p>
          <w:p>
            <w:pPr>
              <w:snapToGrid w:val="0"/>
              <w:ind w:firstLine="0" w:firstLineChars="0"/>
              <w:rPr>
                <w:rFonts w:hint="eastAsia"/>
                <w:color w:val="auto"/>
                <w:highlight w:val="none"/>
              </w:rPr>
            </w:pPr>
            <w:r>
              <w:rPr>
                <w:rFonts w:hint="eastAsia"/>
                <w:color w:val="auto"/>
                <w:highlight w:val="none"/>
                <w:lang w:eastAsia="zh-CN"/>
              </w:rPr>
              <w:t>□</w:t>
            </w:r>
            <w:r>
              <w:rPr>
                <w:rFonts w:hint="eastAsia"/>
                <w:color w:val="auto"/>
                <w:highlight w:val="none"/>
              </w:rPr>
              <w:t>要求</w:t>
            </w:r>
          </w:p>
          <w:p>
            <w:pPr>
              <w:snapToGrid w:val="0"/>
              <w:ind w:firstLine="0" w:firstLineChars="0"/>
              <w:rPr>
                <w:rFonts w:hint="eastAsia" w:ascii="宋体" w:hAnsi="宋体" w:cs="宋体"/>
                <w:color w:val="auto"/>
                <w:kern w:val="0"/>
                <w:highlight w:val="none"/>
              </w:rPr>
            </w:pPr>
            <w:r>
              <w:rPr>
                <w:rFonts w:hint="eastAsia"/>
                <w:color w:val="auto"/>
                <w:highlight w:val="none"/>
              </w:rPr>
              <w:t>（1）</w:t>
            </w:r>
            <w:r>
              <w:rPr>
                <w:rFonts w:hint="eastAsia"/>
                <w:b/>
                <w:bCs/>
                <w:color w:val="auto"/>
                <w:highlight w:val="none"/>
              </w:rPr>
              <w:t>投标保证金的形</w:t>
            </w:r>
            <w:r>
              <w:rPr>
                <w:rFonts w:hint="eastAsia" w:ascii="宋体" w:hAnsi="宋体" w:cs="宋体"/>
                <w:b/>
                <w:bCs/>
                <w:color w:val="auto"/>
                <w:kern w:val="0"/>
                <w:highlight w:val="none"/>
              </w:rPr>
              <w:t>式：</w:t>
            </w:r>
            <w:r>
              <w:rPr>
                <w:rFonts w:hint="eastAsia" w:ascii="宋体" w:hAnsi="宋体" w:cs="宋体"/>
                <w:color w:val="auto"/>
                <w:kern w:val="0"/>
                <w:highlight w:val="none"/>
              </w:rPr>
              <w:t>以个人名义缴纳的保证金无效，投标保证金采用</w:t>
            </w:r>
            <w:r>
              <w:rPr>
                <w:rFonts w:hint="eastAsia" w:ascii="宋体" w:hAnsi="宋体" w:cs="宋体"/>
                <w:color w:val="auto"/>
                <w:kern w:val="0"/>
                <w:highlight w:val="none"/>
                <w:u w:val="none"/>
              </w:rPr>
              <w:t>本票或者汇票方式</w:t>
            </w:r>
            <w:r>
              <w:rPr>
                <w:rFonts w:hint="eastAsia" w:ascii="宋体" w:hAnsi="宋体" w:cs="宋体"/>
                <w:color w:val="auto"/>
                <w:kern w:val="0"/>
                <w:highlight w:val="none"/>
              </w:rPr>
              <w:t>由投标单位基本账户汇出，并注明投标项目名称及编号。开标时缴纳。未</w:t>
            </w:r>
            <w:r>
              <w:rPr>
                <w:rFonts w:hint="eastAsia" w:ascii="宋体" w:hAnsi="宋体" w:cs="宋体"/>
                <w:color w:val="auto"/>
                <w:kern w:val="0"/>
                <w:highlight w:val="none"/>
                <w:lang w:eastAsia="zh-CN"/>
              </w:rPr>
              <w:t>交纳保证金</w:t>
            </w:r>
            <w:r>
              <w:rPr>
                <w:rFonts w:hint="eastAsia" w:ascii="宋体" w:hAnsi="宋体" w:cs="宋体"/>
                <w:color w:val="auto"/>
                <w:kern w:val="0"/>
                <w:highlight w:val="none"/>
              </w:rPr>
              <w:t>的，不予接受投标。未中标单位的投标保证金开标当场退还。</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）未中标投标人的投标保证金将在招标结束后3个工作日内无息退回至投标人法人账户中</w:t>
            </w:r>
          </w:p>
          <w:p>
            <w:pPr>
              <w:snapToGrid w:val="0"/>
              <w:ind w:firstLine="0" w:firstLineChars="0"/>
              <w:rPr>
                <w:rFonts w:hint="eastAsia"/>
                <w:color w:val="auto"/>
                <w:highlight w:val="none"/>
              </w:rPr>
            </w:pPr>
            <w:r>
              <w:rPr>
                <w:rFonts w:hint="eastAsia" w:ascii="宋体" w:hAnsi="宋体" w:cs="宋体"/>
                <w:color w:val="auto"/>
                <w:kern w:val="0"/>
                <w:sz w:val="24"/>
                <w:szCs w:val="24"/>
                <w:highlight w:val="none"/>
                <w:shd w:val="clear" w:color="auto" w:fill="FFFFFF"/>
              </w:rPr>
              <w:t>■</w:t>
            </w:r>
            <w:r>
              <w:rPr>
                <w:rFonts w:hint="eastAsia"/>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3.4.2</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其他可以不予退还投标保证金的情形</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无其他情形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3.5</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资格审查资料的特殊要求</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□无</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sz w:val="24"/>
                <w:szCs w:val="24"/>
                <w:highlight w:val="none"/>
                <w:shd w:val="clear" w:color="auto" w:fill="FFFFFF"/>
              </w:rPr>
              <w:t>■</w:t>
            </w:r>
            <w:r>
              <w:rPr>
                <w:rFonts w:hint="eastAsia" w:ascii="宋体" w:hAnsi="宋体" w:cs="宋体"/>
                <w:color w:val="auto"/>
                <w:kern w:val="0"/>
                <w:highlight w:val="none"/>
              </w:rPr>
              <w:t>有，具体要求：详见招标公告第三条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3.6.1</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是否允许递交备选投标方案</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sz w:val="24"/>
                <w:szCs w:val="24"/>
                <w:highlight w:val="none"/>
                <w:shd w:val="clear" w:color="auto" w:fill="FFFFFF"/>
              </w:rPr>
              <w:t>■</w:t>
            </w:r>
            <w:r>
              <w:rPr>
                <w:rFonts w:hint="eastAsia" w:ascii="宋体" w:hAnsi="宋体" w:cs="宋体"/>
                <w:color w:val="auto"/>
                <w:kern w:val="0"/>
                <w:highlight w:val="none"/>
              </w:rPr>
              <w:t>不允许</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3.7.1</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投标文件份数及其他要求</w:t>
            </w:r>
          </w:p>
        </w:tc>
        <w:tc>
          <w:tcPr>
            <w:tcW w:w="5726" w:type="dxa"/>
            <w:noWrap w:val="0"/>
            <w:vAlign w:val="center"/>
          </w:tcPr>
          <w:p>
            <w:pPr>
              <w:snapToGrid w:val="0"/>
              <w:ind w:firstLine="0" w:firstLineChars="0"/>
              <w:rPr>
                <w:rFonts w:ascii="宋体" w:hAnsi="宋体" w:cs="宋体"/>
                <w:color w:val="auto"/>
                <w:kern w:val="0"/>
                <w:highlight w:val="none"/>
              </w:rPr>
            </w:pPr>
            <w:r>
              <w:rPr>
                <w:rFonts w:hint="eastAsia" w:ascii="宋体" w:hAnsi="宋体" w:cs="宋体"/>
                <w:color w:val="auto"/>
                <w:kern w:val="0"/>
                <w:highlight w:val="none"/>
              </w:rPr>
              <w:t>投标文件正本份数：1份</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投标文件副本份数：2份</w:t>
            </w:r>
          </w:p>
          <w:p>
            <w:pPr>
              <w:snapToGrid w:val="0"/>
              <w:ind w:firstLine="0" w:firstLineChars="0"/>
              <w:rPr>
                <w:rFonts w:hint="eastAsia" w:ascii="宋体" w:hAnsi="宋体" w:eastAsia="宋体" w:cs="宋体"/>
                <w:color w:val="auto"/>
                <w:kern w:val="0"/>
                <w:highlight w:val="none"/>
                <w:lang w:eastAsia="zh-CN"/>
              </w:rPr>
            </w:pPr>
            <w:r>
              <w:rPr>
                <w:rFonts w:hint="eastAsia" w:ascii="宋体" w:hAnsi="宋体" w:cs="宋体"/>
                <w:color w:val="auto"/>
                <w:kern w:val="0"/>
                <w:highlight w:val="none"/>
              </w:rPr>
              <w:t>是否要求提交电子版文件：</w:t>
            </w:r>
            <w:r>
              <w:rPr>
                <w:rFonts w:hint="eastAsia" w:ascii="宋体" w:hAnsi="宋体" w:cs="宋体"/>
                <w:color w:val="auto"/>
                <w:kern w:val="0"/>
                <w:highlight w:val="none"/>
                <w:lang w:val="en-US" w:eastAsia="zh-CN"/>
              </w:rPr>
              <w:t>是</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其他要求：电子版文件一般应为PDF格式、U盘形式，随纸质投标文件一并提交。电子版文件用于辅助评标和平台存档，投标人需承担电子版文件和纸质正本文件不一致造成的不利后果。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3.7.2</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投标文件是否需分册装订</w:t>
            </w:r>
          </w:p>
        </w:tc>
        <w:tc>
          <w:tcPr>
            <w:tcW w:w="5726" w:type="dxa"/>
            <w:noWrap w:val="0"/>
            <w:vAlign w:val="center"/>
          </w:tcPr>
          <w:p>
            <w:pPr>
              <w:snapToGrid w:val="0"/>
              <w:ind w:firstLine="0" w:firstLineChars="0"/>
              <w:rPr>
                <w:rFonts w:hint="eastAsia"/>
                <w:color w:val="auto"/>
                <w:highlight w:val="none"/>
              </w:rPr>
            </w:pPr>
            <w:r>
              <w:rPr>
                <w:rFonts w:hint="eastAsia"/>
                <w:color w:val="auto"/>
                <w:highlight w:val="none"/>
              </w:rPr>
              <w:t>□不需要</w:t>
            </w:r>
          </w:p>
          <w:p>
            <w:pPr>
              <w:snapToGrid w:val="0"/>
              <w:ind w:firstLine="0" w:firstLineChars="0"/>
              <w:rPr>
                <w:rFonts w:hint="eastAsia"/>
                <w:color w:val="auto"/>
                <w:highlight w:val="none"/>
              </w:rPr>
            </w:pPr>
            <w:r>
              <w:rPr>
                <w:rFonts w:hint="eastAsia"/>
                <w:color w:val="auto"/>
                <w:highlight w:val="none"/>
              </w:rPr>
              <w:t>■需要，分册装订要求：</w:t>
            </w:r>
          </w:p>
          <w:p>
            <w:pPr>
              <w:snapToGrid w:val="0"/>
              <w:rPr>
                <w:rFonts w:hint="eastAsia" w:ascii="宋体" w:hAnsi="宋体" w:cs="宋体"/>
                <w:color w:val="auto"/>
                <w:kern w:val="0"/>
                <w:highlight w:val="none"/>
              </w:rPr>
            </w:pPr>
            <w:r>
              <w:rPr>
                <w:rFonts w:hint="eastAsia" w:ascii="宋体" w:hAnsi="宋体" w:cs="宋体"/>
                <w:color w:val="auto"/>
                <w:kern w:val="0"/>
                <w:highlight w:val="none"/>
              </w:rPr>
              <w:t>装订要求：除特别说明外，全套投标文件的书面部分均使用A4规格纸张无线胶装方式装订，不得采用活页夹等可随时拆换的方式装订。</w:t>
            </w:r>
          </w:p>
          <w:p>
            <w:pPr>
              <w:snapToGrid w:val="0"/>
              <w:rPr>
                <w:rFonts w:hint="eastAsia"/>
                <w:color w:val="auto"/>
                <w:highlight w:val="none"/>
              </w:rPr>
            </w:pPr>
            <w:r>
              <w:rPr>
                <w:rFonts w:hint="eastAsia" w:ascii="宋体" w:hAnsi="宋体" w:cs="宋体"/>
                <w:color w:val="auto"/>
                <w:kern w:val="0"/>
                <w:highlight w:val="none"/>
              </w:rPr>
              <w:t>密封要求：投标人应将投标文件正本和副本分别密封包装。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4.1.1</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封套上应载明的信息</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招标代理机构名称：</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招标代理机构地址：</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（项目名称）（设备名称）采购招标项目投标文件</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招标编号：</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标段名称：</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标段编号：</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 xml:space="preserve">在 </w:t>
            </w:r>
            <w:r>
              <w:rPr>
                <w:rFonts w:hint="eastAsia" w:ascii="宋体" w:hAnsi="宋体" w:cs="宋体"/>
                <w:color w:val="auto"/>
                <w:kern w:val="0"/>
                <w:highlight w:val="none"/>
              </w:rPr>
              <w:tab/>
            </w:r>
            <w:r>
              <w:rPr>
                <w:rFonts w:hint="eastAsia" w:ascii="宋体" w:hAnsi="宋体" w:cs="宋体"/>
                <w:color w:val="auto"/>
                <w:kern w:val="0"/>
                <w:highlight w:val="none"/>
              </w:rPr>
              <w:t xml:space="preserve">年 </w:t>
            </w:r>
            <w:r>
              <w:rPr>
                <w:rFonts w:hint="eastAsia" w:ascii="宋体" w:hAnsi="宋体" w:cs="宋体"/>
                <w:color w:val="auto"/>
                <w:kern w:val="0"/>
                <w:highlight w:val="none"/>
              </w:rPr>
              <w:tab/>
            </w:r>
            <w:r>
              <w:rPr>
                <w:rFonts w:hint="eastAsia" w:ascii="宋体" w:hAnsi="宋体" w:cs="宋体"/>
                <w:color w:val="auto"/>
                <w:kern w:val="0"/>
                <w:highlight w:val="none"/>
              </w:rPr>
              <w:t xml:space="preserve">月 </w:t>
            </w:r>
            <w:r>
              <w:rPr>
                <w:rFonts w:hint="eastAsia" w:ascii="宋体" w:hAnsi="宋体" w:cs="宋体"/>
                <w:color w:val="auto"/>
                <w:kern w:val="0"/>
                <w:highlight w:val="none"/>
              </w:rPr>
              <w:tab/>
            </w:r>
            <w:r>
              <w:rPr>
                <w:rFonts w:hint="eastAsia" w:ascii="宋体" w:hAnsi="宋体" w:cs="宋体"/>
                <w:color w:val="auto"/>
                <w:kern w:val="0"/>
                <w:highlight w:val="none"/>
              </w:rPr>
              <w:t xml:space="preserve">日 </w:t>
            </w:r>
            <w:r>
              <w:rPr>
                <w:rFonts w:hint="eastAsia" w:ascii="宋体" w:hAnsi="宋体" w:cs="宋体"/>
                <w:color w:val="auto"/>
                <w:kern w:val="0"/>
                <w:highlight w:val="none"/>
              </w:rPr>
              <w:tab/>
            </w:r>
            <w:r>
              <w:rPr>
                <w:rFonts w:hint="eastAsia" w:ascii="宋体" w:hAnsi="宋体" w:cs="宋体"/>
                <w:color w:val="auto"/>
                <w:kern w:val="0"/>
                <w:highlight w:val="none"/>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4.2.1</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投标截止时间</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 xml:space="preserve">详见招标公告第五条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4.2.2</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递交投标文件地点</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 xml:space="preserve">详见招标公告第五条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4.2.3</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投标文件是否退还</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sz w:val="24"/>
                <w:szCs w:val="24"/>
                <w:highlight w:val="none"/>
                <w:shd w:val="clear" w:color="auto" w:fill="FFFFFF"/>
              </w:rPr>
              <w:t>■</w:t>
            </w:r>
            <w:r>
              <w:rPr>
                <w:rFonts w:hint="eastAsia" w:ascii="宋体" w:hAnsi="宋体" w:cs="宋体"/>
                <w:color w:val="auto"/>
                <w:kern w:val="0"/>
                <w:highlight w:val="none"/>
              </w:rPr>
              <w:t>否</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5.1</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开标时间和地点</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 xml:space="preserve">开标时间：详见招标公告第六条  </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 xml:space="preserve">开标地点：详见招标公告第六条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5.2</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开标程序</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开标顺序：递交投标文件的正序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6.1.1</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评标委员会的组建</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评标委员会构成：5人</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其中专家5人；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6.1.2</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评标委员会推荐中标候选人的人数</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ascii="宋体" w:hAnsi="宋体" w:cs="宋体"/>
                <w:color w:val="auto"/>
                <w:kern w:val="0"/>
                <w:highlight w:val="none"/>
              </w:rPr>
            </w:pPr>
            <w:r>
              <w:rPr>
                <w:rFonts w:hint="eastAsia" w:ascii="宋体" w:hAnsi="宋体" w:cs="宋体"/>
                <w:color w:val="auto"/>
                <w:kern w:val="0"/>
                <w:highlight w:val="none"/>
              </w:rPr>
              <w:t>6.1.3</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评分办法</w:t>
            </w:r>
          </w:p>
        </w:tc>
        <w:tc>
          <w:tcPr>
            <w:tcW w:w="5726" w:type="dxa"/>
            <w:noWrap w:val="0"/>
            <w:vAlign w:val="center"/>
          </w:tcPr>
          <w:p>
            <w:pPr>
              <w:snapToGrid w:val="0"/>
              <w:ind w:firstLine="0" w:firstLineChars="0"/>
              <w:rPr>
                <w:rFonts w:hint="eastAsia" w:ascii="宋体" w:hAnsi="宋体" w:cs="宋体"/>
                <w:color w:val="auto"/>
                <w:kern w:val="0"/>
                <w:highlight w:val="none"/>
              </w:rPr>
            </w:pPr>
            <w:bookmarkStart w:id="16" w:name="EB3aa1594205114bf380f53331102b3aeb"/>
            <w:r>
              <w:rPr>
                <w:rFonts w:hint="eastAsia" w:ascii="宋体" w:hAnsi="宋体" w:cs="宋体"/>
                <w:color w:val="auto"/>
                <w:kern w:val="0"/>
                <w:highlight w:val="none"/>
                <w:u w:val="single"/>
              </w:rPr>
              <w:t>综合评分法：</w:t>
            </w:r>
            <w:r>
              <w:rPr>
                <w:rFonts w:hint="eastAsia" w:ascii="宋体" w:hAnsi="宋体" w:cs="宋体"/>
                <w:color w:val="auto"/>
                <w:kern w:val="0"/>
                <w:highlight w:val="none"/>
              </w:rPr>
              <w:t>按照综合评分由高到低的顺序推荐中标候选人。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7.1</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中标候选人公示媒介及期限</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公示媒介：</w:t>
            </w:r>
            <w:r>
              <w:rPr>
                <w:rFonts w:hint="eastAsia" w:ascii="宋体" w:hAnsi="宋体" w:cs="宋体"/>
                <w:color w:val="auto"/>
                <w:kern w:val="0"/>
                <w:highlight w:val="none"/>
                <w:u w:val="single"/>
              </w:rPr>
              <w:t>扬州市城建国有资产控股</w:t>
            </w:r>
            <w:r>
              <w:rPr>
                <w:rFonts w:hint="eastAsia" w:ascii="宋体" w:hAnsi="宋体" w:cs="宋体"/>
                <w:color w:val="auto"/>
                <w:kern w:val="0"/>
                <w:highlight w:val="none"/>
                <w:u w:val="single"/>
                <w:lang w:eastAsia="zh-CN"/>
              </w:rPr>
              <w:t>（</w:t>
            </w:r>
            <w:r>
              <w:rPr>
                <w:rFonts w:hint="eastAsia" w:ascii="宋体" w:hAnsi="宋体" w:cs="宋体"/>
                <w:color w:val="auto"/>
                <w:kern w:val="0"/>
                <w:highlight w:val="none"/>
                <w:u w:val="single"/>
              </w:rPr>
              <w:t>集团）有限责任公司网站</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公示期限：不少于3日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7.2</w:t>
            </w:r>
          </w:p>
        </w:tc>
        <w:tc>
          <w:tcPr>
            <w:tcW w:w="1843"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是否授权评标委员会确定中标人</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□是</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sz w:val="24"/>
                <w:szCs w:val="24"/>
                <w:highlight w:val="none"/>
                <w:shd w:val="clear" w:color="auto" w:fill="FFFFFF"/>
              </w:rPr>
              <w:t>■</w:t>
            </w:r>
            <w:r>
              <w:rPr>
                <w:rFonts w:hint="eastAsia" w:ascii="宋体" w:hAnsi="宋体" w:cs="宋体"/>
                <w:color w:val="auto"/>
                <w:kern w:val="0"/>
                <w:highlight w:val="none"/>
              </w:rPr>
              <w:t>否，招标人确定排名第一中标候选人为中标人（</w:t>
            </w:r>
            <w:r>
              <w:rPr>
                <w:rFonts w:hint="eastAsia" w:ascii="宋体" w:hAnsi="宋体" w:cs="宋体"/>
                <w:color w:val="auto"/>
                <w:kern w:val="0"/>
                <w:highlight w:val="none"/>
                <w:lang w:eastAsia="zh-CN"/>
              </w:rPr>
              <w:t>成交</w:t>
            </w:r>
            <w:r>
              <w:rPr>
                <w:rFonts w:hint="eastAsia" w:ascii="宋体" w:hAnsi="宋体" w:cs="宋体"/>
                <w:color w:val="auto"/>
                <w:kern w:val="0"/>
                <w:highlight w:val="none"/>
              </w:rPr>
              <w:t>供应商）。若其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7.3</w:t>
            </w:r>
          </w:p>
        </w:tc>
        <w:tc>
          <w:tcPr>
            <w:tcW w:w="1843" w:type="dxa"/>
            <w:noWrap w:val="0"/>
            <w:vAlign w:val="center"/>
          </w:tcPr>
          <w:p>
            <w:pPr>
              <w:snapToGrid w:val="0"/>
              <w:ind w:firstLine="0" w:firstLineChars="0"/>
              <w:jc w:val="center"/>
              <w:rPr>
                <w:rFonts w:hint="eastAsia" w:ascii="宋体" w:hAnsi="宋体" w:eastAsia="宋体" w:cs="宋体"/>
                <w:color w:val="auto"/>
                <w:kern w:val="0"/>
                <w:highlight w:val="none"/>
                <w:lang w:eastAsia="zh-CN"/>
              </w:rPr>
            </w:pPr>
            <w:r>
              <w:rPr>
                <w:rFonts w:hint="eastAsia" w:ascii="宋体" w:hAnsi="宋体" w:cs="宋体"/>
                <w:color w:val="auto"/>
                <w:kern w:val="0"/>
                <w:highlight w:val="none"/>
                <w:lang w:eastAsia="zh-CN"/>
              </w:rPr>
              <w:t>履约保证</w:t>
            </w: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是否要求中标人提交履约保证金：</w:t>
            </w:r>
          </w:p>
          <w:p>
            <w:pPr>
              <w:snapToGrid w:val="0"/>
              <w:ind w:firstLine="0" w:firstLineChars="0"/>
              <w:rPr>
                <w:rFonts w:hint="eastAsia" w:ascii="宋体" w:hAnsi="宋体" w:eastAsia="宋体" w:cs="宋体"/>
                <w:color w:val="auto"/>
                <w:kern w:val="0"/>
                <w:highlight w:val="none"/>
                <w:lang w:eastAsia="zh-CN"/>
              </w:rPr>
            </w:pPr>
            <w:r>
              <w:rPr>
                <w:rFonts w:hint="eastAsia" w:ascii="宋体" w:hAnsi="宋体" w:cs="宋体"/>
                <w:color w:val="auto"/>
                <w:kern w:val="0"/>
                <w:highlight w:val="none"/>
                <w:lang w:eastAsia="zh-CN"/>
              </w:rPr>
              <w:t>□</w:t>
            </w:r>
            <w:r>
              <w:rPr>
                <w:rFonts w:hint="eastAsia" w:ascii="宋体" w:hAnsi="宋体" w:cs="宋体"/>
                <w:color w:val="auto"/>
                <w:kern w:val="0"/>
                <w:highlight w:val="none"/>
              </w:rPr>
              <w:t>要求，履约保证金的形式</w:t>
            </w:r>
            <w:r>
              <w:rPr>
                <w:rFonts w:hint="eastAsia" w:ascii="宋体" w:hAnsi="宋体" w:cs="宋体"/>
                <w:color w:val="auto"/>
                <w:kern w:val="0"/>
                <w:highlight w:val="none"/>
                <w:lang w:eastAsia="zh-CN"/>
              </w:rPr>
              <w:t>：</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履约保证金的金额：</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sz w:val="24"/>
                <w:szCs w:val="24"/>
                <w:highlight w:val="none"/>
                <w:shd w:val="clear" w:color="auto" w:fill="FFFFFF"/>
              </w:rPr>
              <w:t>■</w:t>
            </w:r>
            <w:r>
              <w:rPr>
                <w:rFonts w:hint="eastAsia" w:ascii="宋体" w:hAnsi="宋体" w:cs="宋体"/>
                <w:color w:val="auto"/>
                <w:kern w:val="0"/>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9" w:type="dxa"/>
            <w:vMerge w:val="restart"/>
            <w:noWrap w:val="0"/>
            <w:vAlign w:val="center"/>
          </w:tcPr>
          <w:p>
            <w:pPr>
              <w:snapToGrid w:val="0"/>
              <w:ind w:firstLine="0" w:firstLineChars="0"/>
              <w:jc w:val="center"/>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8</w:t>
            </w:r>
          </w:p>
        </w:tc>
        <w:tc>
          <w:tcPr>
            <w:tcW w:w="1843" w:type="dxa"/>
            <w:vMerge w:val="restart"/>
            <w:noWrap w:val="0"/>
            <w:vAlign w:val="center"/>
          </w:tcPr>
          <w:p>
            <w:pPr>
              <w:snapToGrid w:val="0"/>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其他</w:t>
            </w:r>
          </w:p>
        </w:tc>
        <w:tc>
          <w:tcPr>
            <w:tcW w:w="5726" w:type="dxa"/>
            <w:noWrap w:val="0"/>
            <w:vAlign w:val="center"/>
          </w:tcPr>
          <w:p>
            <w:pPr>
              <w:snapToGrid w:val="0"/>
              <w:ind w:firstLine="0" w:firstLineChars="0"/>
              <w:rPr>
                <w:rFonts w:ascii="宋体" w:hAnsi="宋体" w:cs="宋体"/>
                <w:color w:val="auto"/>
                <w:kern w:val="0"/>
                <w:highlight w:val="none"/>
              </w:rPr>
            </w:pPr>
            <w:r>
              <w:rPr>
                <w:rFonts w:hint="eastAsia" w:ascii="宋体" w:hAnsi="宋体" w:cs="宋体"/>
                <w:color w:val="auto"/>
                <w:kern w:val="0"/>
                <w:highlight w:val="none"/>
                <w:lang w:val="en-US" w:eastAsia="zh-CN"/>
              </w:rPr>
              <w:t>8</w:t>
            </w:r>
            <w:r>
              <w:rPr>
                <w:rFonts w:hint="eastAsia" w:ascii="宋体" w:hAnsi="宋体" w:cs="宋体"/>
                <w:color w:val="auto"/>
                <w:kern w:val="0"/>
                <w:highlight w:val="none"/>
              </w:rPr>
              <w:t>.1重新招标</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lang w:val="en-US" w:eastAsia="zh-CN"/>
              </w:rPr>
              <w:t>8</w:t>
            </w:r>
            <w:r>
              <w:rPr>
                <w:rFonts w:hint="eastAsia" w:ascii="宋体" w:hAnsi="宋体" w:cs="宋体"/>
                <w:color w:val="auto"/>
                <w:kern w:val="0"/>
                <w:highlight w:val="none"/>
              </w:rPr>
              <w:t>.1.1有下列情形之一的，招标人将重新招标：</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（1）招标文件获取截止时间止，获取招标文件的潜在投标人少于3个的；</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（2）投标截止时间止，提交投标文件的投标人少于3个的；</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（3）经评标委员会评审后否决所有投标的；</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（4）评标委员会否决一部分投标后其他有效投标不足3个使得投标明显缺乏竞争，决定否决全部投标的；</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rPr>
              <w:t>（5）根据第一章第7.4款规定，依次确定其他中标候选人与招标人预期差距较大，或者对招标人明显不利的。</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lang w:val="en-US" w:eastAsia="zh-CN"/>
              </w:rPr>
              <w:t>8</w:t>
            </w:r>
            <w:r>
              <w:rPr>
                <w:rFonts w:hint="eastAsia" w:ascii="宋体" w:hAnsi="宋体" w:cs="宋体"/>
                <w:color w:val="auto"/>
                <w:kern w:val="0"/>
                <w:highlight w:val="none"/>
              </w:rPr>
              <w:t>.1.2有第一章第7.</w:t>
            </w: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款、第二章第3.1.2（2）目所列情形的投标人不得参与该项目的重新招标。</w:t>
            </w:r>
          </w:p>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lang w:val="en-US" w:eastAsia="zh-CN"/>
              </w:rPr>
              <w:t>8</w:t>
            </w:r>
            <w:r>
              <w:rPr>
                <w:rFonts w:hint="eastAsia" w:ascii="宋体" w:hAnsi="宋体" w:cs="宋体"/>
                <w:color w:val="auto"/>
                <w:kern w:val="0"/>
                <w:highlight w:val="none"/>
              </w:rPr>
              <w:t>.1.3重新招标后仍存在第一章第</w:t>
            </w:r>
            <w:r>
              <w:rPr>
                <w:rFonts w:hint="eastAsia" w:ascii="宋体" w:hAnsi="宋体" w:cs="宋体"/>
                <w:color w:val="auto"/>
                <w:kern w:val="0"/>
                <w:highlight w:val="none"/>
                <w:lang w:val="en-US" w:eastAsia="zh-CN"/>
              </w:rPr>
              <w:t>9</w:t>
            </w:r>
            <w:r>
              <w:rPr>
                <w:rFonts w:hint="eastAsia" w:ascii="宋体" w:hAnsi="宋体" w:cs="宋体"/>
                <w:color w:val="auto"/>
                <w:kern w:val="0"/>
                <w:highlight w:val="none"/>
              </w:rPr>
              <w:t>.1.1项情形的，按国家有关规定需要履行审批、核准手续的依法必须进行招标的项目，报项目审批、核准部门审批、核准后可以不再进行招标；其他工程建设项目，招标人可自行决定不再进行招标。</w:t>
            </w:r>
          </w:p>
          <w:p>
            <w:pPr>
              <w:snapToGrid w:val="0"/>
              <w:ind w:firstLine="0" w:firstLineChars="0"/>
              <w:rPr>
                <w:rFonts w:hint="eastAsia"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59" w:type="dxa"/>
            <w:vMerge w:val="continue"/>
            <w:noWrap w:val="0"/>
            <w:vAlign w:val="center"/>
          </w:tcPr>
          <w:p>
            <w:pPr>
              <w:snapToGrid w:val="0"/>
              <w:ind w:firstLine="0" w:firstLineChars="0"/>
              <w:jc w:val="center"/>
              <w:rPr>
                <w:rFonts w:hint="eastAsia" w:ascii="宋体" w:hAnsi="宋体" w:cs="宋体"/>
                <w:color w:val="auto"/>
                <w:kern w:val="0"/>
                <w:highlight w:val="none"/>
              </w:rPr>
            </w:pPr>
          </w:p>
        </w:tc>
        <w:tc>
          <w:tcPr>
            <w:tcW w:w="1843" w:type="dxa"/>
            <w:vMerge w:val="continue"/>
            <w:noWrap w:val="0"/>
            <w:vAlign w:val="center"/>
          </w:tcPr>
          <w:p>
            <w:pPr>
              <w:snapToGrid w:val="0"/>
              <w:ind w:firstLine="0" w:firstLineChars="0"/>
              <w:jc w:val="center"/>
              <w:rPr>
                <w:rFonts w:hint="eastAsia" w:ascii="宋体" w:hAnsi="宋体" w:cs="宋体"/>
                <w:color w:val="auto"/>
                <w:kern w:val="0"/>
                <w:highlight w:val="none"/>
              </w:rPr>
            </w:pPr>
          </w:p>
        </w:tc>
        <w:tc>
          <w:tcPr>
            <w:tcW w:w="5726" w:type="dxa"/>
            <w:noWrap w:val="0"/>
            <w:vAlign w:val="center"/>
          </w:tcPr>
          <w:p>
            <w:pPr>
              <w:snapToGrid w:val="0"/>
              <w:ind w:firstLine="0" w:firstLineChars="0"/>
              <w:rPr>
                <w:rFonts w:hint="eastAsia" w:ascii="宋体" w:hAnsi="宋体" w:cs="宋体"/>
                <w:color w:val="auto"/>
                <w:kern w:val="0"/>
                <w:highlight w:val="none"/>
              </w:rPr>
            </w:pPr>
            <w:r>
              <w:rPr>
                <w:rFonts w:hint="eastAsia" w:ascii="宋体" w:hAnsi="宋体" w:cs="宋体"/>
                <w:color w:val="auto"/>
                <w:kern w:val="0"/>
                <w:highlight w:val="none"/>
                <w:lang w:val="en-US" w:eastAsia="zh-CN"/>
              </w:rPr>
              <w:t>8</w:t>
            </w:r>
            <w:r>
              <w:rPr>
                <w:rFonts w:hint="eastAsia" w:ascii="宋体" w:hAnsi="宋体" w:cs="宋体"/>
                <w:color w:val="auto"/>
                <w:kern w:val="0"/>
                <w:highlight w:val="none"/>
              </w:rPr>
              <w:t>.2任何单位和个人对代理机构在招标采购活动中的违法行为，有权控告和检举，监督电话：0514-</w:t>
            </w:r>
            <w:r>
              <w:rPr>
                <w:rFonts w:ascii="宋体" w:hAnsi="宋体" w:cs="宋体"/>
                <w:color w:val="auto"/>
                <w:kern w:val="0"/>
                <w:highlight w:val="none"/>
              </w:rPr>
              <w:t>87111559</w:t>
            </w:r>
            <w:r>
              <w:rPr>
                <w:rFonts w:hint="eastAsia" w:ascii="宋体" w:hAnsi="宋体" w:cs="宋体"/>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59" w:type="dxa"/>
            <w:vMerge w:val="continue"/>
            <w:noWrap w:val="0"/>
            <w:vAlign w:val="center"/>
          </w:tcPr>
          <w:p>
            <w:pPr>
              <w:snapToGrid w:val="0"/>
              <w:ind w:firstLine="0" w:firstLineChars="0"/>
              <w:rPr>
                <w:rFonts w:hint="eastAsia" w:ascii="宋体" w:hAnsi="宋体" w:cs="宋体"/>
                <w:color w:val="auto"/>
                <w:kern w:val="0"/>
                <w:highlight w:val="none"/>
              </w:rPr>
            </w:pPr>
          </w:p>
        </w:tc>
        <w:tc>
          <w:tcPr>
            <w:tcW w:w="1843" w:type="dxa"/>
            <w:vMerge w:val="continue"/>
            <w:noWrap w:val="0"/>
            <w:vAlign w:val="center"/>
          </w:tcPr>
          <w:p>
            <w:pPr>
              <w:snapToGrid w:val="0"/>
              <w:ind w:firstLine="0" w:firstLineChars="0"/>
              <w:rPr>
                <w:rFonts w:hint="eastAsia" w:ascii="宋体" w:hAnsi="宋体" w:cs="宋体"/>
                <w:color w:val="auto"/>
                <w:kern w:val="0"/>
                <w:highlight w:val="none"/>
              </w:rPr>
            </w:pPr>
          </w:p>
        </w:tc>
        <w:tc>
          <w:tcPr>
            <w:tcW w:w="5726" w:type="dxa"/>
            <w:noWrap w:val="0"/>
            <w:vAlign w:val="center"/>
          </w:tcPr>
          <w:p>
            <w:pPr>
              <w:pStyle w:val="2"/>
              <w:snapToGrid w:val="0"/>
              <w:spacing w:line="240" w:lineRule="auto"/>
              <w:ind w:firstLine="0" w:firstLineChars="0"/>
              <w:rPr>
                <w:rFonts w:hint="eastAsia" w:cs="宋体"/>
                <w:bCs/>
                <w:color w:val="auto"/>
                <w:kern w:val="0"/>
                <w:sz w:val="21"/>
                <w:szCs w:val="21"/>
                <w:highlight w:val="none"/>
              </w:rPr>
            </w:pPr>
            <w:r>
              <w:rPr>
                <w:rFonts w:hint="eastAsia" w:cs="宋体"/>
                <w:bCs/>
                <w:color w:val="auto"/>
                <w:kern w:val="0"/>
                <w:sz w:val="21"/>
                <w:szCs w:val="21"/>
                <w:highlight w:val="none"/>
                <w:lang w:val="en-US" w:eastAsia="zh-CN"/>
              </w:rPr>
              <w:t>8</w:t>
            </w:r>
            <w:r>
              <w:rPr>
                <w:rFonts w:hint="eastAsia" w:cs="宋体"/>
                <w:bCs/>
                <w:color w:val="auto"/>
                <w:kern w:val="0"/>
                <w:sz w:val="21"/>
                <w:szCs w:val="21"/>
                <w:highlight w:val="none"/>
              </w:rPr>
              <w:t>.3联系方式</w:t>
            </w:r>
          </w:p>
          <w:p>
            <w:pPr>
              <w:snapToGrid w:val="0"/>
              <w:ind w:firstLine="0" w:firstLineChars="0"/>
              <w:rPr>
                <w:rFonts w:hint="eastAsia" w:ascii="宋体" w:hAnsi="宋体" w:cs="宋体"/>
                <w:color w:val="auto"/>
                <w:kern w:val="0"/>
                <w:highlight w:val="none"/>
              </w:rPr>
            </w:pPr>
            <w:r>
              <w:rPr>
                <w:rFonts w:hint="eastAsia" w:ascii="宋体" w:hAnsi="宋体" w:cs="宋体"/>
                <w:bCs/>
                <w:color w:val="auto"/>
                <w:kern w:val="0"/>
                <w:szCs w:val="21"/>
                <w:highlight w:val="none"/>
              </w:rPr>
              <w:t>自购买招标文件之日起，投标人应保证其提供的联系方式（电话、传真、电子邮件）一直有效，以保证往来函件（招标文件的澄清、修改等）能及时通知投标人，并能及时反馈信息，否则招标人不承担由此引起的一切后果。</w:t>
            </w:r>
          </w:p>
        </w:tc>
      </w:tr>
    </w:tbl>
    <w:p>
      <w:pPr>
        <w:keepNext/>
        <w:keepLines/>
        <w:snapToGrid w:val="0"/>
        <w:spacing w:line="360" w:lineRule="auto"/>
        <w:rPr>
          <w:rFonts w:hint="eastAsia" w:ascii="宋体" w:hAnsi="宋体" w:cs="宋体"/>
          <w:color w:val="auto"/>
        </w:rPr>
      </w:pPr>
      <w:bookmarkStart w:id="17" w:name="_Toc5019"/>
      <w:bookmarkStart w:id="18" w:name="_Toc21971"/>
      <w:bookmarkStart w:id="19" w:name="_Toc30730"/>
      <w:bookmarkStart w:id="20" w:name="_Toc20977"/>
    </w:p>
    <w:p>
      <w:pPr>
        <w:pStyle w:val="4"/>
        <w:snapToGrid w:val="0"/>
        <w:spacing w:before="0" w:after="0" w:line="360" w:lineRule="auto"/>
        <w:jc w:val="both"/>
        <w:outlineLvl w:val="0"/>
        <w:rPr>
          <w:rFonts w:hint="eastAsia" w:ascii="宋体" w:hAnsi="宋体" w:cs="宋体"/>
          <w:color w:val="auto"/>
          <w:sz w:val="28"/>
          <w:szCs w:val="28"/>
        </w:rPr>
      </w:pPr>
      <w:r>
        <w:rPr>
          <w:rFonts w:hint="eastAsia" w:ascii="宋体" w:hAnsi="宋体" w:cs="宋体"/>
          <w:color w:val="auto"/>
        </w:rPr>
        <w:br w:type="page"/>
      </w:r>
      <w:bookmarkStart w:id="21" w:name="_Toc47023084"/>
      <w:bookmarkStart w:id="22" w:name="_Toc40699920"/>
      <w:r>
        <w:rPr>
          <w:rFonts w:hint="eastAsia" w:ascii="宋体" w:hAnsi="宋体" w:cs="宋体"/>
          <w:color w:val="auto"/>
          <w:sz w:val="28"/>
          <w:szCs w:val="28"/>
        </w:rPr>
        <w:t>1.总则</w:t>
      </w:r>
      <w:bookmarkEnd w:id="17"/>
      <w:bookmarkEnd w:id="18"/>
      <w:bookmarkEnd w:id="19"/>
      <w:bookmarkEnd w:id="20"/>
      <w:bookmarkEnd w:id="21"/>
      <w:bookmarkEnd w:id="22"/>
    </w:p>
    <w:p>
      <w:pPr>
        <w:snapToGrid w:val="0"/>
        <w:spacing w:line="360" w:lineRule="auto"/>
        <w:ind w:firstLine="420" w:firstLineChars="0"/>
        <w:outlineLvl w:val="1"/>
        <w:rPr>
          <w:rFonts w:hint="eastAsia" w:ascii="宋体" w:hAnsi="宋体" w:cs="宋体"/>
          <w:color w:val="auto"/>
          <w:kern w:val="0"/>
        </w:rPr>
      </w:pPr>
      <w:bookmarkStart w:id="23" w:name="_Toc3122"/>
      <w:bookmarkStart w:id="24" w:name="_Toc2172"/>
      <w:r>
        <w:rPr>
          <w:rFonts w:hint="eastAsia" w:ascii="宋体" w:hAnsi="宋体" w:cs="宋体"/>
          <w:color w:val="auto"/>
          <w:kern w:val="0"/>
        </w:rPr>
        <w:t>1.1招标项目概况</w:t>
      </w:r>
      <w:bookmarkEnd w:id="23"/>
      <w:bookmarkEnd w:id="24"/>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1.1.1根据《中华人民共和国招标投标法》、《中华人民共和国招标投标法实施条例》等有关法律、法规和规章的规定，本招标项目已具备招标条件，现对设备采购进行招标。</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1.1.2招标人：见投标人须知前附表。</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1.1.3招标代理机构：见投标人须知前附表。</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1.1.4招标项目名称：见投标人须知前附表。</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1.1.5工程项目名称</w:t>
      </w:r>
      <w:r>
        <w:rPr>
          <w:rFonts w:hint="eastAsia" w:ascii="宋体" w:hAnsi="宋体" w:cs="宋体"/>
          <w:color w:val="auto"/>
          <w:kern w:val="0"/>
          <w:highlight w:val="none"/>
        </w:rPr>
        <w:t>：即</w:t>
      </w:r>
      <w:r>
        <w:rPr>
          <w:rFonts w:hint="eastAsia" w:ascii="宋体" w:hAnsi="宋体" w:cs="宋体"/>
          <w:color w:val="auto"/>
          <w:kern w:val="0"/>
        </w:rPr>
        <w:t>招标项目所属的工程建设项目，见投标人须知前附表。</w:t>
      </w:r>
    </w:p>
    <w:p>
      <w:pPr>
        <w:snapToGrid w:val="0"/>
        <w:spacing w:line="360" w:lineRule="auto"/>
        <w:ind w:firstLine="420" w:firstLineChars="0"/>
        <w:outlineLvl w:val="1"/>
        <w:rPr>
          <w:rFonts w:hint="eastAsia" w:ascii="宋体" w:hAnsi="宋体" w:cs="宋体"/>
          <w:color w:val="auto"/>
          <w:kern w:val="0"/>
        </w:rPr>
      </w:pPr>
      <w:bookmarkStart w:id="25" w:name="_Toc5683"/>
      <w:bookmarkStart w:id="26" w:name="_Toc27621"/>
      <w:r>
        <w:rPr>
          <w:rFonts w:hint="eastAsia" w:ascii="宋体" w:hAnsi="宋体" w:cs="宋体"/>
          <w:color w:val="auto"/>
          <w:kern w:val="0"/>
        </w:rPr>
        <w:t>1.2招标项目的资金来源和落实情况</w:t>
      </w:r>
      <w:bookmarkEnd w:id="25"/>
      <w:bookmarkEnd w:id="26"/>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1.2.1资金来源及比例：见投标人须知前附表。</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1.2.2资金落实情况：见投标人须知前附表。</w:t>
      </w:r>
    </w:p>
    <w:p>
      <w:pPr>
        <w:snapToGrid w:val="0"/>
        <w:spacing w:line="360" w:lineRule="auto"/>
        <w:ind w:firstLine="420" w:firstLineChars="0"/>
        <w:outlineLvl w:val="1"/>
        <w:rPr>
          <w:rFonts w:hint="eastAsia" w:ascii="宋体" w:hAnsi="宋体" w:cs="宋体"/>
          <w:color w:val="auto"/>
          <w:kern w:val="0"/>
        </w:rPr>
      </w:pPr>
      <w:bookmarkStart w:id="27" w:name="_Toc16537"/>
      <w:bookmarkStart w:id="28" w:name="_Toc20567"/>
      <w:r>
        <w:rPr>
          <w:rFonts w:hint="eastAsia" w:ascii="宋体" w:hAnsi="宋体" w:cs="宋体"/>
          <w:color w:val="auto"/>
          <w:kern w:val="0"/>
        </w:rPr>
        <w:t>1.3招标范围、交货期、交货地点和技术性能指标</w:t>
      </w:r>
      <w:bookmarkEnd w:id="27"/>
      <w:bookmarkEnd w:id="28"/>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1.3.1招标范围：见投标人须知前附表。</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1.3.2交货期：见投标人须知前附表。</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1.3.3交货地点：见投标人须知前附表。</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1.3.4技术性能指标：见投标人须知前附表。</w:t>
      </w:r>
    </w:p>
    <w:p>
      <w:pPr>
        <w:snapToGrid w:val="0"/>
        <w:spacing w:line="360" w:lineRule="auto"/>
        <w:ind w:firstLine="420" w:firstLineChars="0"/>
        <w:outlineLvl w:val="1"/>
        <w:rPr>
          <w:rFonts w:hint="eastAsia" w:ascii="宋体" w:hAnsi="宋体" w:cs="宋体"/>
          <w:color w:val="auto"/>
          <w:kern w:val="0"/>
        </w:rPr>
      </w:pPr>
      <w:bookmarkStart w:id="29" w:name="_Toc22210"/>
      <w:bookmarkStart w:id="30" w:name="_Toc13957"/>
      <w:r>
        <w:rPr>
          <w:rFonts w:hint="eastAsia" w:ascii="宋体" w:hAnsi="宋体" w:cs="宋体"/>
          <w:color w:val="auto"/>
          <w:kern w:val="0"/>
        </w:rPr>
        <w:t>1.4投标人资格要求</w:t>
      </w:r>
      <w:bookmarkEnd w:id="29"/>
      <w:bookmarkEnd w:id="30"/>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1.4.1投标人应具备承担本招标项目资质条件、能力和信誉：</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（1）资质要求：见投标人须知前附表；</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（2）财务要求：见投标人须知前附表；</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（3）业绩要求：见投标人须知前附表；</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（4）信誉要求：见投标人须知前附表；</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（5）其他要求：见投标人须知前附表。</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投标人为代理经销商的，对投标人的资质要求包含对制造商的资质要求，对投标人的业绩要求包含对投标设备的业绩要求。</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需要提交的相关证明材料见本章第3.5款的规定。</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1.4.2投标人须知前附表规定接受联合体投标的，联合体除应符合本章第1.4.1项和投标人须知前附表的要求外，还应遵守以下规定：</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（1）联合体各方应按招标文件提供的格式签订联合体协议书，明确联合体牵头人和各方权利义务，并承诺就中标项目向招标人承担连带责任；</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（2）由同一专业的单位组成的联合体，按照资质等级较低的单位确定资质等级；</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（3）联合体各方不得再以自己名义单独或参加其他联合体在本招标项目中投标，否则各相关投标均无效。</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1.4.3投标人不得存在下列情形之一：</w:t>
      </w:r>
    </w:p>
    <w:p>
      <w:pPr>
        <w:numPr>
          <w:ilvl w:val="0"/>
          <w:numId w:val="0"/>
        </w:numPr>
        <w:snapToGrid w:val="0"/>
        <w:spacing w:line="360" w:lineRule="auto"/>
        <w:ind w:leftChars="0" w:firstLine="420" w:firstLineChars="0"/>
        <w:rPr>
          <w:rFonts w:hint="eastAsia" w:ascii="宋体" w:hAnsi="宋体" w:cs="宋体"/>
          <w:color w:val="auto"/>
          <w:kern w:val="0"/>
        </w:rPr>
      </w:pPr>
      <w:r>
        <w:rPr>
          <w:rFonts w:hint="eastAsia" w:ascii="宋体" w:hAnsi="宋体" w:cs="宋体"/>
          <w:color w:val="auto"/>
          <w:kern w:val="0"/>
        </w:rPr>
        <w:t>（1）与招标人存在利害关系且可能影响招标公正性；</w:t>
      </w:r>
    </w:p>
    <w:p>
      <w:pPr>
        <w:numPr>
          <w:ilvl w:val="0"/>
          <w:numId w:val="0"/>
        </w:numPr>
        <w:snapToGrid w:val="0"/>
        <w:spacing w:line="360" w:lineRule="auto"/>
        <w:ind w:leftChars="0" w:firstLine="420" w:firstLineChars="0"/>
        <w:rPr>
          <w:rFonts w:hint="eastAsia" w:ascii="宋体" w:hAnsi="宋体" w:cs="宋体"/>
          <w:color w:val="auto"/>
          <w:kern w:val="0"/>
        </w:rPr>
      </w:pPr>
      <w:r>
        <w:rPr>
          <w:rFonts w:hint="eastAsia" w:ascii="宋体" w:hAnsi="宋体" w:cs="宋体"/>
          <w:color w:val="auto"/>
          <w:kern w:val="0"/>
        </w:rPr>
        <w:t>（2）与本招标项目的其他投标人为同一个单位负责人；</w:t>
      </w:r>
    </w:p>
    <w:p>
      <w:pPr>
        <w:numPr>
          <w:ilvl w:val="0"/>
          <w:numId w:val="0"/>
        </w:numPr>
        <w:snapToGrid w:val="0"/>
        <w:spacing w:line="360" w:lineRule="auto"/>
        <w:ind w:leftChars="0" w:firstLine="420" w:firstLineChars="0"/>
        <w:rPr>
          <w:rFonts w:hint="eastAsia" w:ascii="宋体" w:hAnsi="宋体" w:cs="宋体"/>
          <w:color w:val="auto"/>
          <w:kern w:val="0"/>
        </w:rPr>
      </w:pPr>
      <w:r>
        <w:rPr>
          <w:rFonts w:hint="eastAsia" w:ascii="宋体" w:hAnsi="宋体" w:cs="宋体"/>
          <w:color w:val="auto"/>
          <w:kern w:val="0"/>
        </w:rPr>
        <w:t>（3）与本招标项目的其他投标人存在控股、管理关系；</w:t>
      </w:r>
    </w:p>
    <w:p>
      <w:pPr>
        <w:numPr>
          <w:ilvl w:val="0"/>
          <w:numId w:val="0"/>
        </w:numPr>
        <w:snapToGrid w:val="0"/>
        <w:spacing w:line="360" w:lineRule="auto"/>
        <w:ind w:leftChars="0" w:firstLine="420" w:firstLineChars="0"/>
        <w:rPr>
          <w:rFonts w:hint="eastAsia" w:ascii="宋体" w:hAnsi="宋体" w:cs="宋体"/>
          <w:color w:val="auto"/>
          <w:kern w:val="0"/>
        </w:rPr>
      </w:pPr>
      <w:r>
        <w:rPr>
          <w:rFonts w:hint="eastAsia" w:ascii="宋体" w:hAnsi="宋体" w:cs="宋体"/>
          <w:color w:val="auto"/>
          <w:kern w:val="0"/>
        </w:rPr>
        <w:t>（4）与本招标项目其他投标人代理同一个制造商同一品牌同一型号的设备投标；</w:t>
      </w:r>
    </w:p>
    <w:p>
      <w:pPr>
        <w:numPr>
          <w:ilvl w:val="0"/>
          <w:numId w:val="0"/>
        </w:numPr>
        <w:snapToGrid w:val="0"/>
        <w:spacing w:line="360" w:lineRule="auto"/>
        <w:ind w:leftChars="0" w:firstLine="420" w:firstLineChars="0"/>
        <w:rPr>
          <w:rFonts w:hint="eastAsia" w:ascii="宋体" w:hAnsi="宋体" w:cs="宋体"/>
          <w:color w:val="auto"/>
          <w:kern w:val="0"/>
        </w:rPr>
      </w:pPr>
      <w:r>
        <w:rPr>
          <w:rFonts w:hint="eastAsia" w:ascii="宋体" w:hAnsi="宋体" w:cs="宋体"/>
          <w:color w:val="auto"/>
          <w:kern w:val="0"/>
        </w:rPr>
        <w:t>（5）为本招标项目提供过设计、编制技术规范和其他文件的咨询服务；</w:t>
      </w:r>
    </w:p>
    <w:p>
      <w:pPr>
        <w:numPr>
          <w:ilvl w:val="0"/>
          <w:numId w:val="0"/>
        </w:numPr>
        <w:snapToGrid w:val="0"/>
        <w:spacing w:line="360" w:lineRule="auto"/>
        <w:ind w:leftChars="0" w:firstLine="420" w:firstLineChars="0"/>
        <w:rPr>
          <w:rFonts w:hint="eastAsia" w:ascii="宋体" w:hAnsi="宋体" w:cs="宋体"/>
          <w:color w:val="auto"/>
          <w:kern w:val="0"/>
        </w:rPr>
      </w:pPr>
      <w:r>
        <w:rPr>
          <w:rFonts w:hint="eastAsia" w:ascii="宋体" w:hAnsi="宋体" w:cs="宋体"/>
          <w:color w:val="auto"/>
          <w:kern w:val="0"/>
        </w:rPr>
        <w:t>（6）为本招标项目的代建人；</w:t>
      </w:r>
    </w:p>
    <w:p>
      <w:pPr>
        <w:numPr>
          <w:ilvl w:val="0"/>
          <w:numId w:val="0"/>
        </w:numPr>
        <w:snapToGrid w:val="0"/>
        <w:spacing w:line="360" w:lineRule="auto"/>
        <w:ind w:leftChars="0" w:firstLine="420" w:firstLineChars="0"/>
        <w:rPr>
          <w:rFonts w:hint="eastAsia" w:ascii="宋体" w:hAnsi="宋体" w:cs="宋体"/>
          <w:color w:val="auto"/>
          <w:kern w:val="0"/>
        </w:rPr>
      </w:pPr>
      <w:r>
        <w:rPr>
          <w:rFonts w:hint="eastAsia" w:ascii="宋体" w:hAnsi="宋体" w:cs="宋体"/>
          <w:color w:val="auto"/>
          <w:kern w:val="0"/>
        </w:rPr>
        <w:t>（</w:t>
      </w:r>
      <w:r>
        <w:rPr>
          <w:rFonts w:hint="eastAsia" w:ascii="宋体" w:hAnsi="宋体" w:cs="宋体"/>
          <w:color w:val="auto"/>
          <w:kern w:val="0"/>
          <w:lang w:val="en-US" w:eastAsia="zh-CN"/>
        </w:rPr>
        <w:t>7</w:t>
      </w:r>
      <w:r>
        <w:rPr>
          <w:rFonts w:hint="eastAsia" w:ascii="宋体" w:hAnsi="宋体" w:cs="宋体"/>
          <w:color w:val="auto"/>
          <w:kern w:val="0"/>
        </w:rPr>
        <w:t>）为本招标项目的招标代理机构；</w:t>
      </w:r>
    </w:p>
    <w:p>
      <w:pPr>
        <w:numPr>
          <w:ilvl w:val="0"/>
          <w:numId w:val="0"/>
        </w:numPr>
        <w:snapToGrid w:val="0"/>
        <w:spacing w:line="360" w:lineRule="auto"/>
        <w:ind w:leftChars="0" w:firstLine="420" w:firstLineChars="0"/>
        <w:rPr>
          <w:rFonts w:hint="eastAsia" w:ascii="宋体" w:hAnsi="宋体" w:cs="宋体"/>
          <w:color w:val="auto"/>
          <w:kern w:val="0"/>
        </w:rPr>
      </w:pPr>
      <w:r>
        <w:rPr>
          <w:rFonts w:hint="eastAsia" w:ascii="宋体" w:hAnsi="宋体" w:cs="宋体"/>
          <w:color w:val="auto"/>
          <w:kern w:val="0"/>
        </w:rPr>
        <w:t>（</w:t>
      </w:r>
      <w:r>
        <w:rPr>
          <w:rFonts w:hint="eastAsia" w:ascii="宋体" w:hAnsi="宋体" w:cs="宋体"/>
          <w:color w:val="auto"/>
          <w:kern w:val="0"/>
          <w:lang w:val="en-US" w:eastAsia="zh-CN"/>
        </w:rPr>
        <w:t>8</w:t>
      </w:r>
      <w:r>
        <w:rPr>
          <w:rFonts w:hint="eastAsia" w:ascii="宋体" w:hAnsi="宋体" w:cs="宋体"/>
          <w:color w:val="auto"/>
          <w:kern w:val="0"/>
        </w:rPr>
        <w:t>）被依法暂停或者取消投标资格；</w:t>
      </w:r>
    </w:p>
    <w:p>
      <w:pPr>
        <w:numPr>
          <w:ilvl w:val="0"/>
          <w:numId w:val="0"/>
        </w:numPr>
        <w:snapToGrid w:val="0"/>
        <w:spacing w:line="360" w:lineRule="auto"/>
        <w:ind w:leftChars="0" w:firstLine="420" w:firstLineChars="0"/>
        <w:rPr>
          <w:rFonts w:hint="eastAsia" w:ascii="宋体" w:hAnsi="宋体" w:cs="宋体"/>
          <w:color w:val="auto"/>
          <w:kern w:val="0"/>
        </w:rPr>
      </w:pPr>
      <w:r>
        <w:rPr>
          <w:rFonts w:hint="eastAsia" w:ascii="宋体" w:hAnsi="宋体" w:cs="宋体"/>
          <w:color w:val="auto"/>
          <w:kern w:val="0"/>
        </w:rPr>
        <w:t>（</w:t>
      </w:r>
      <w:r>
        <w:rPr>
          <w:rFonts w:hint="eastAsia" w:ascii="宋体" w:hAnsi="宋体" w:cs="宋体"/>
          <w:color w:val="auto"/>
          <w:kern w:val="0"/>
          <w:lang w:val="en-US" w:eastAsia="zh-CN"/>
        </w:rPr>
        <w:t>9</w:t>
      </w:r>
      <w:r>
        <w:rPr>
          <w:rFonts w:hint="eastAsia" w:ascii="宋体" w:hAnsi="宋体" w:cs="宋体"/>
          <w:color w:val="auto"/>
          <w:kern w:val="0"/>
        </w:rPr>
        <w:t>）被责令停产停业、暂扣或者吊销许可证、暂扣或者吊销执照；</w:t>
      </w:r>
    </w:p>
    <w:p>
      <w:pPr>
        <w:numPr>
          <w:ilvl w:val="0"/>
          <w:numId w:val="0"/>
        </w:numPr>
        <w:snapToGrid w:val="0"/>
        <w:spacing w:line="360" w:lineRule="auto"/>
        <w:ind w:leftChars="0" w:firstLine="420" w:firstLineChars="0"/>
        <w:rPr>
          <w:rFonts w:hint="eastAsia" w:ascii="宋体" w:hAnsi="宋体" w:cs="宋体"/>
          <w:color w:val="auto"/>
          <w:kern w:val="0"/>
        </w:rPr>
      </w:pPr>
      <w:r>
        <w:rPr>
          <w:rFonts w:hint="eastAsia" w:ascii="宋体" w:hAnsi="宋体" w:cs="宋体"/>
          <w:color w:val="auto"/>
          <w:kern w:val="0"/>
        </w:rPr>
        <w:t>（</w:t>
      </w:r>
      <w:r>
        <w:rPr>
          <w:rFonts w:hint="eastAsia" w:ascii="宋体" w:hAnsi="宋体" w:cs="宋体"/>
          <w:color w:val="auto"/>
          <w:kern w:val="0"/>
          <w:lang w:val="en-US" w:eastAsia="zh-CN"/>
        </w:rPr>
        <w:t>10</w:t>
      </w:r>
      <w:r>
        <w:rPr>
          <w:rFonts w:hint="eastAsia" w:ascii="宋体" w:hAnsi="宋体" w:cs="宋体"/>
          <w:color w:val="auto"/>
          <w:kern w:val="0"/>
        </w:rPr>
        <w:t>）进入清算程序，或被宣告破产，或其他丧失履约能力的情形；</w:t>
      </w:r>
    </w:p>
    <w:p>
      <w:pPr>
        <w:numPr>
          <w:ilvl w:val="0"/>
          <w:numId w:val="0"/>
        </w:numPr>
        <w:snapToGrid w:val="0"/>
        <w:spacing w:line="360" w:lineRule="auto"/>
        <w:ind w:leftChars="0" w:firstLine="420" w:firstLineChars="0"/>
        <w:rPr>
          <w:rFonts w:hint="eastAsia" w:ascii="宋体" w:hAnsi="宋体" w:cs="宋体"/>
          <w:color w:val="auto"/>
          <w:kern w:val="0"/>
        </w:rPr>
      </w:pPr>
      <w:r>
        <w:rPr>
          <w:rFonts w:hint="eastAsia" w:ascii="宋体" w:hAnsi="宋体" w:cs="宋体"/>
          <w:color w:val="auto"/>
          <w:kern w:val="0"/>
        </w:rPr>
        <w:t>（</w:t>
      </w:r>
      <w:r>
        <w:rPr>
          <w:rFonts w:hint="eastAsia" w:ascii="宋体" w:hAnsi="宋体" w:cs="宋体"/>
          <w:color w:val="auto"/>
          <w:kern w:val="0"/>
          <w:lang w:val="en-US" w:eastAsia="zh-CN"/>
        </w:rPr>
        <w:t>11</w:t>
      </w:r>
      <w:r>
        <w:rPr>
          <w:rFonts w:hint="eastAsia" w:ascii="宋体" w:hAnsi="宋体" w:cs="宋体"/>
          <w:color w:val="auto"/>
          <w:kern w:val="0"/>
        </w:rPr>
        <w:t>）在最近三年内发生重大产品质量问题（以相关行业主管部门的行政处罚决定或司法机关出具的有关法律文书为准）；</w:t>
      </w:r>
    </w:p>
    <w:p>
      <w:pPr>
        <w:numPr>
          <w:ilvl w:val="0"/>
          <w:numId w:val="0"/>
        </w:numPr>
        <w:snapToGrid w:val="0"/>
        <w:spacing w:line="360" w:lineRule="auto"/>
        <w:ind w:leftChars="0" w:firstLine="420" w:firstLineChars="0"/>
        <w:rPr>
          <w:rFonts w:hint="eastAsia" w:ascii="宋体" w:hAnsi="宋体" w:cs="宋体"/>
          <w:color w:val="auto"/>
          <w:kern w:val="0"/>
        </w:rPr>
      </w:pPr>
      <w:r>
        <w:rPr>
          <w:rFonts w:hint="eastAsia" w:ascii="宋体" w:hAnsi="宋体" w:cs="宋体"/>
          <w:color w:val="auto"/>
          <w:kern w:val="0"/>
        </w:rPr>
        <w:t>（</w:t>
      </w:r>
      <w:r>
        <w:rPr>
          <w:rFonts w:hint="eastAsia" w:ascii="宋体" w:hAnsi="宋体" w:cs="宋体"/>
          <w:color w:val="auto"/>
          <w:kern w:val="0"/>
          <w:lang w:val="en-US" w:eastAsia="zh-CN"/>
        </w:rPr>
        <w:t>12</w:t>
      </w:r>
      <w:r>
        <w:rPr>
          <w:rFonts w:hint="eastAsia" w:ascii="宋体" w:hAnsi="宋体" w:cs="宋体"/>
          <w:color w:val="auto"/>
          <w:kern w:val="0"/>
        </w:rPr>
        <w:t>）被工商行政管理机关在全国企业信用信息公示系统中列入严重违法失信企业名单；</w:t>
      </w:r>
    </w:p>
    <w:p>
      <w:pPr>
        <w:numPr>
          <w:ilvl w:val="0"/>
          <w:numId w:val="0"/>
        </w:numPr>
        <w:snapToGrid w:val="0"/>
        <w:spacing w:line="360" w:lineRule="auto"/>
        <w:ind w:leftChars="0" w:firstLine="420" w:firstLineChars="0"/>
        <w:rPr>
          <w:rFonts w:hint="eastAsia" w:ascii="宋体" w:hAnsi="宋体" w:cs="宋体"/>
          <w:color w:val="auto"/>
          <w:kern w:val="0"/>
        </w:rPr>
      </w:pPr>
      <w:r>
        <w:rPr>
          <w:rFonts w:hint="eastAsia" w:ascii="宋体" w:hAnsi="宋体" w:cs="宋体"/>
          <w:color w:val="auto"/>
          <w:kern w:val="0"/>
        </w:rPr>
        <w:t>（1</w:t>
      </w:r>
      <w:r>
        <w:rPr>
          <w:rFonts w:hint="eastAsia" w:ascii="宋体" w:hAnsi="宋体" w:cs="宋体"/>
          <w:color w:val="auto"/>
          <w:kern w:val="0"/>
          <w:lang w:val="en-US" w:eastAsia="zh-CN"/>
        </w:rPr>
        <w:t>3</w:t>
      </w:r>
      <w:r>
        <w:rPr>
          <w:rFonts w:hint="eastAsia" w:ascii="宋体" w:hAnsi="宋体" w:cs="宋体"/>
          <w:color w:val="auto"/>
          <w:kern w:val="0"/>
        </w:rPr>
        <w:t>）被最高人民法院在“信用中国”网站（www.creditchina.gov.cn）或各级信用信息共享平台中列入失信被执行人名单；</w:t>
      </w:r>
    </w:p>
    <w:p>
      <w:pPr>
        <w:numPr>
          <w:ilvl w:val="0"/>
          <w:numId w:val="0"/>
        </w:numPr>
        <w:snapToGrid w:val="0"/>
        <w:spacing w:line="360" w:lineRule="auto"/>
        <w:ind w:leftChars="0" w:firstLine="420" w:firstLineChars="0"/>
        <w:rPr>
          <w:rFonts w:hint="eastAsia" w:ascii="宋体" w:hAnsi="宋体" w:cs="宋体"/>
          <w:color w:val="auto"/>
          <w:kern w:val="0"/>
        </w:rPr>
      </w:pPr>
      <w:r>
        <w:rPr>
          <w:rFonts w:hint="eastAsia" w:ascii="宋体" w:hAnsi="宋体" w:cs="宋体"/>
          <w:color w:val="auto"/>
          <w:kern w:val="0"/>
        </w:rPr>
        <w:t>（1</w:t>
      </w:r>
      <w:r>
        <w:rPr>
          <w:rFonts w:hint="eastAsia" w:ascii="宋体" w:hAnsi="宋体" w:cs="宋体"/>
          <w:color w:val="auto"/>
          <w:kern w:val="0"/>
          <w:lang w:val="en-US" w:eastAsia="zh-CN"/>
        </w:rPr>
        <w:t>4</w:t>
      </w:r>
      <w:r>
        <w:rPr>
          <w:rFonts w:hint="eastAsia" w:ascii="宋体" w:hAnsi="宋体" w:cs="宋体"/>
          <w:color w:val="auto"/>
          <w:kern w:val="0"/>
        </w:rPr>
        <w:t>）在近三年内投标人或其法定代表人、拟委任的项目负责人有行贿犯罪行为的；</w:t>
      </w:r>
    </w:p>
    <w:p>
      <w:pPr>
        <w:numPr>
          <w:ilvl w:val="0"/>
          <w:numId w:val="0"/>
        </w:numPr>
        <w:snapToGrid w:val="0"/>
        <w:spacing w:line="360" w:lineRule="auto"/>
        <w:ind w:leftChars="0" w:firstLine="420" w:firstLineChars="0"/>
        <w:rPr>
          <w:rFonts w:hint="eastAsia" w:ascii="宋体" w:hAnsi="宋体" w:cs="宋体"/>
          <w:color w:val="auto"/>
          <w:kern w:val="0"/>
        </w:rPr>
      </w:pPr>
      <w:r>
        <w:rPr>
          <w:rFonts w:hint="eastAsia" w:ascii="宋体" w:hAnsi="宋体" w:cs="宋体"/>
          <w:color w:val="auto"/>
          <w:kern w:val="0"/>
        </w:rPr>
        <w:t>（1</w:t>
      </w:r>
      <w:r>
        <w:rPr>
          <w:rFonts w:hint="eastAsia" w:ascii="宋体" w:hAnsi="宋体" w:cs="宋体"/>
          <w:color w:val="auto"/>
          <w:kern w:val="0"/>
          <w:lang w:val="en-US" w:eastAsia="zh-CN"/>
        </w:rPr>
        <w:t>5</w:t>
      </w:r>
      <w:r>
        <w:rPr>
          <w:rFonts w:hint="eastAsia" w:ascii="宋体" w:hAnsi="宋体" w:cs="宋体"/>
          <w:color w:val="auto"/>
          <w:kern w:val="0"/>
        </w:rPr>
        <w:t>）法律法规或投标人须知前附表规定的其他情形。</w:t>
      </w:r>
    </w:p>
    <w:p>
      <w:pPr>
        <w:snapToGrid w:val="0"/>
        <w:spacing w:line="360" w:lineRule="auto"/>
        <w:ind w:firstLine="420" w:firstLineChars="0"/>
        <w:outlineLvl w:val="1"/>
        <w:rPr>
          <w:rFonts w:hint="eastAsia" w:ascii="宋体" w:hAnsi="宋体" w:cs="宋体"/>
          <w:color w:val="auto"/>
          <w:kern w:val="0"/>
        </w:rPr>
      </w:pPr>
      <w:bookmarkStart w:id="31" w:name="_Toc19031"/>
      <w:bookmarkStart w:id="32" w:name="_Toc18665"/>
      <w:r>
        <w:rPr>
          <w:rFonts w:hint="eastAsia" w:ascii="宋体" w:hAnsi="宋体" w:cs="宋体"/>
          <w:color w:val="auto"/>
          <w:kern w:val="0"/>
        </w:rPr>
        <w:t>1.5费用承担</w:t>
      </w:r>
      <w:bookmarkEnd w:id="31"/>
      <w:bookmarkEnd w:id="32"/>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投标人准备和参加投标活动发生的费用自理。</w:t>
      </w:r>
    </w:p>
    <w:p>
      <w:pPr>
        <w:snapToGrid w:val="0"/>
        <w:spacing w:line="360" w:lineRule="auto"/>
        <w:ind w:firstLine="420" w:firstLineChars="0"/>
        <w:outlineLvl w:val="1"/>
        <w:rPr>
          <w:rFonts w:hint="eastAsia" w:ascii="宋体" w:hAnsi="宋体" w:cs="宋体"/>
          <w:color w:val="auto"/>
          <w:kern w:val="0"/>
        </w:rPr>
      </w:pPr>
      <w:bookmarkStart w:id="33" w:name="_Toc30992"/>
      <w:bookmarkStart w:id="34" w:name="_Toc13934"/>
      <w:r>
        <w:rPr>
          <w:rFonts w:hint="eastAsia" w:ascii="宋体" w:hAnsi="宋体" w:cs="宋体"/>
          <w:color w:val="auto"/>
          <w:kern w:val="0"/>
        </w:rPr>
        <w:t>1.6保密</w:t>
      </w:r>
      <w:bookmarkEnd w:id="33"/>
      <w:bookmarkEnd w:id="34"/>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参与招标投标活动的各方应对招标文件和投标文件中的商业和技术等秘密保密，否则应承担相应的法律责任。</w:t>
      </w:r>
    </w:p>
    <w:p>
      <w:pPr>
        <w:snapToGrid w:val="0"/>
        <w:spacing w:line="360" w:lineRule="auto"/>
        <w:ind w:firstLine="420" w:firstLineChars="0"/>
        <w:outlineLvl w:val="1"/>
        <w:rPr>
          <w:rFonts w:hint="eastAsia" w:ascii="宋体" w:hAnsi="宋体" w:cs="宋体"/>
          <w:color w:val="auto"/>
          <w:kern w:val="0"/>
        </w:rPr>
      </w:pPr>
      <w:bookmarkStart w:id="35" w:name="_Toc25953"/>
      <w:bookmarkStart w:id="36" w:name="_Toc3467"/>
      <w:r>
        <w:rPr>
          <w:rFonts w:hint="eastAsia" w:ascii="宋体" w:hAnsi="宋体" w:cs="宋体"/>
          <w:color w:val="auto"/>
          <w:kern w:val="0"/>
        </w:rPr>
        <w:t>1.7语言文字</w:t>
      </w:r>
      <w:bookmarkEnd w:id="35"/>
      <w:bookmarkEnd w:id="36"/>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招标投标文件使用的语言文字为中文。专用术语使用外文的，应附有中文注释。</w:t>
      </w:r>
    </w:p>
    <w:p>
      <w:pPr>
        <w:snapToGrid w:val="0"/>
        <w:spacing w:line="360" w:lineRule="auto"/>
        <w:ind w:firstLine="420" w:firstLineChars="0"/>
        <w:outlineLvl w:val="1"/>
        <w:rPr>
          <w:rFonts w:hint="eastAsia" w:ascii="宋体" w:hAnsi="宋体" w:cs="宋体"/>
          <w:color w:val="auto"/>
          <w:kern w:val="0"/>
        </w:rPr>
      </w:pPr>
      <w:bookmarkStart w:id="37" w:name="_Toc26546"/>
      <w:bookmarkStart w:id="38" w:name="_Toc4247"/>
      <w:r>
        <w:rPr>
          <w:rFonts w:hint="eastAsia" w:ascii="宋体" w:hAnsi="宋体" w:cs="宋体"/>
          <w:color w:val="auto"/>
          <w:kern w:val="0"/>
        </w:rPr>
        <w:t>1.8计量单位</w:t>
      </w:r>
      <w:bookmarkEnd w:id="37"/>
      <w:bookmarkEnd w:id="38"/>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所有计量均采用中华人民共和国法定计量单位。</w:t>
      </w:r>
    </w:p>
    <w:p>
      <w:pPr>
        <w:snapToGrid w:val="0"/>
        <w:spacing w:line="360" w:lineRule="auto"/>
        <w:ind w:firstLine="420" w:firstLineChars="0"/>
        <w:outlineLvl w:val="1"/>
        <w:rPr>
          <w:rFonts w:hint="eastAsia" w:ascii="宋体" w:hAnsi="宋体" w:cs="宋体"/>
          <w:color w:val="auto"/>
          <w:kern w:val="0"/>
        </w:rPr>
      </w:pPr>
      <w:bookmarkStart w:id="39" w:name="_Toc4655"/>
      <w:bookmarkStart w:id="40" w:name="_Toc7847"/>
      <w:r>
        <w:rPr>
          <w:rFonts w:hint="eastAsia" w:ascii="宋体" w:hAnsi="宋体" w:cs="宋体"/>
          <w:color w:val="auto"/>
          <w:kern w:val="0"/>
        </w:rPr>
        <w:t>1.9投标预备会</w:t>
      </w:r>
      <w:bookmarkEnd w:id="39"/>
      <w:bookmarkEnd w:id="40"/>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1.9.1投标人须知前附表规定召开投标预备会的，招标人按投标人须知前附表规定的时间和地点召开投标预备会，澄清投标人提出的问题。</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1.9.2投标人应按投标人须知前附表规定的时间和形式将提出的问题送达招标人，以便招标人在会议期间澄清。</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1.9.3投标预备会后，招标人将对投标人所提问题的澄清，以投标人须知前附表规定的形式通知所有购买招标文件的投标人。该澄清内容为招标文件的组成部分。</w:t>
      </w:r>
    </w:p>
    <w:p>
      <w:pPr>
        <w:snapToGrid w:val="0"/>
        <w:spacing w:line="360" w:lineRule="auto"/>
        <w:ind w:firstLine="420" w:firstLineChars="0"/>
        <w:outlineLvl w:val="1"/>
        <w:rPr>
          <w:rFonts w:hint="eastAsia" w:ascii="宋体" w:hAnsi="宋体" w:cs="宋体"/>
          <w:color w:val="auto"/>
          <w:kern w:val="0"/>
        </w:rPr>
      </w:pPr>
      <w:bookmarkStart w:id="41" w:name="_Toc25802"/>
      <w:bookmarkStart w:id="42" w:name="_Toc8602"/>
      <w:r>
        <w:rPr>
          <w:rFonts w:hint="eastAsia" w:ascii="宋体" w:hAnsi="宋体" w:cs="宋体"/>
          <w:color w:val="auto"/>
          <w:kern w:val="0"/>
        </w:rPr>
        <w:t>1.10分包</w:t>
      </w:r>
      <w:bookmarkEnd w:id="41"/>
      <w:bookmarkEnd w:id="42"/>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1.10.1投标人拟在中标后将中标项目的非主体设备进行分包的，应符合投标人须知前附表规定的分包内容、分包金额和资质要求等限制性条件，除投标人须知前附表规定的非主体设备外，其他工作不得分包。</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1.10.2中标人不得向他人转让中标项目，接受分包的人不得再次分包。中标人应当就分包项目向招标人负责，接受分包的人就分包项目承担连带责任。</w:t>
      </w:r>
    </w:p>
    <w:p>
      <w:pPr>
        <w:snapToGrid w:val="0"/>
        <w:spacing w:line="360" w:lineRule="auto"/>
        <w:ind w:firstLine="420" w:firstLineChars="0"/>
        <w:outlineLvl w:val="1"/>
        <w:rPr>
          <w:rFonts w:hint="eastAsia" w:ascii="宋体" w:hAnsi="宋体" w:cs="宋体"/>
          <w:color w:val="auto"/>
          <w:kern w:val="0"/>
        </w:rPr>
      </w:pPr>
      <w:bookmarkStart w:id="43" w:name="_Toc24475"/>
      <w:bookmarkStart w:id="44" w:name="_Toc7456"/>
      <w:r>
        <w:rPr>
          <w:rFonts w:hint="eastAsia" w:ascii="宋体" w:hAnsi="宋体" w:cs="宋体"/>
          <w:color w:val="auto"/>
          <w:kern w:val="0"/>
        </w:rPr>
        <w:t>1.11响应和偏差</w:t>
      </w:r>
      <w:bookmarkEnd w:id="43"/>
      <w:bookmarkEnd w:id="44"/>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1.11.1投标文件应当对招标文件的实质性要求和条件作出满足性或更有利于招标人的响应，否则，投标人的投标将被否决。实质性要求和条件见投标人须知前附表。</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1.11.2投标人应根据招标文件的要求提供投标设备技术性能指标的详细描述、技术支持资料及技术服务和质保期服务计划等内容以对招标文件作出响应。</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1.11.4投标人须知前附表规定了可以偏差的范围和最高偏差项数的，偏差应当符合投标人须知前附表规定的偏差范围和最高项数，超出偏差范围和最高偏差项数的投标将被否决。</w:t>
      </w:r>
    </w:p>
    <w:p>
      <w:pPr>
        <w:snapToGrid w:val="0"/>
        <w:spacing w:line="360" w:lineRule="auto"/>
        <w:ind w:firstLine="420" w:firstLineChars="0"/>
        <w:rPr>
          <w:rFonts w:hint="eastAsia" w:ascii="宋体" w:hAnsi="宋体" w:cs="宋体"/>
          <w:color w:val="auto"/>
          <w:kern w:val="0"/>
        </w:rPr>
      </w:pPr>
      <w:r>
        <w:rPr>
          <w:rFonts w:hint="eastAsia" w:ascii="宋体" w:hAnsi="宋体" w:cs="宋体"/>
          <w:color w:val="auto"/>
          <w:kern w:val="0"/>
        </w:rPr>
        <w:t>1.11.5投标文件对招标文件的全部偏差，均应在投标文件的商务和技术偏差表中列明，除列明的内容外，视为投标人响应招标文件的全部要求。</w:t>
      </w:r>
    </w:p>
    <w:p>
      <w:pPr>
        <w:pStyle w:val="4"/>
        <w:snapToGrid w:val="0"/>
        <w:spacing w:before="0" w:after="0" w:line="360" w:lineRule="auto"/>
        <w:outlineLvl w:val="0"/>
        <w:rPr>
          <w:rFonts w:hint="eastAsia" w:ascii="宋体" w:hAnsi="宋体" w:cs="宋体"/>
          <w:color w:val="auto"/>
        </w:rPr>
      </w:pPr>
      <w:r>
        <w:rPr>
          <w:rFonts w:hint="eastAsia" w:ascii="宋体" w:hAnsi="宋体" w:cs="宋体"/>
          <w:color w:val="auto"/>
        </w:rPr>
        <w:t>2.招标文件</w:t>
      </w:r>
      <w:bookmarkEnd w:id="10"/>
      <w:bookmarkEnd w:id="11"/>
      <w:bookmarkEnd w:id="12"/>
      <w:bookmarkEnd w:id="13"/>
      <w:bookmarkEnd w:id="14"/>
      <w:bookmarkEnd w:id="15"/>
    </w:p>
    <w:p>
      <w:pPr>
        <w:snapToGrid w:val="0"/>
        <w:spacing w:line="360" w:lineRule="auto"/>
        <w:outlineLvl w:val="1"/>
        <w:rPr>
          <w:rFonts w:hint="eastAsia" w:ascii="宋体" w:hAnsi="宋体" w:cs="宋体"/>
          <w:color w:val="auto"/>
          <w:kern w:val="0"/>
        </w:rPr>
      </w:pPr>
      <w:bookmarkStart w:id="45" w:name="_Toc20341"/>
      <w:bookmarkStart w:id="46" w:name="_Toc23403"/>
      <w:r>
        <w:rPr>
          <w:rFonts w:hint="eastAsia" w:ascii="宋体" w:hAnsi="宋体" w:cs="宋体"/>
          <w:color w:val="auto"/>
          <w:kern w:val="0"/>
        </w:rPr>
        <w:t>2.1招标文件的组成</w:t>
      </w:r>
      <w:bookmarkEnd w:id="45"/>
      <w:bookmarkEnd w:id="46"/>
    </w:p>
    <w:p>
      <w:pPr>
        <w:snapToGrid w:val="0"/>
        <w:spacing w:line="360" w:lineRule="auto"/>
        <w:rPr>
          <w:rFonts w:hint="eastAsia" w:ascii="宋体" w:hAnsi="宋体" w:cs="宋体"/>
          <w:color w:val="auto"/>
          <w:kern w:val="0"/>
        </w:rPr>
      </w:pPr>
      <w:r>
        <w:rPr>
          <w:rFonts w:hint="eastAsia" w:ascii="宋体" w:hAnsi="宋体" w:cs="宋体"/>
          <w:color w:val="auto"/>
          <w:kern w:val="0"/>
        </w:rPr>
        <w:t>本招标文件包括：</w:t>
      </w:r>
    </w:p>
    <w:p>
      <w:pPr>
        <w:snapToGrid w:val="0"/>
        <w:spacing w:line="360" w:lineRule="auto"/>
        <w:rPr>
          <w:rFonts w:hint="eastAsia" w:ascii="宋体" w:hAnsi="宋体" w:cs="宋体"/>
          <w:color w:val="auto"/>
          <w:kern w:val="0"/>
        </w:rPr>
      </w:pPr>
      <w:r>
        <w:rPr>
          <w:rFonts w:hint="eastAsia" w:ascii="宋体" w:hAnsi="宋体" w:cs="宋体"/>
          <w:color w:val="auto"/>
          <w:kern w:val="0"/>
        </w:rPr>
        <w:t>（1）招标公告；</w:t>
      </w:r>
    </w:p>
    <w:p>
      <w:pPr>
        <w:snapToGrid w:val="0"/>
        <w:spacing w:line="360" w:lineRule="auto"/>
        <w:rPr>
          <w:rFonts w:hint="eastAsia" w:ascii="宋体" w:hAnsi="宋体" w:cs="宋体"/>
          <w:color w:val="auto"/>
          <w:kern w:val="0"/>
        </w:rPr>
      </w:pPr>
      <w:r>
        <w:rPr>
          <w:rFonts w:hint="eastAsia" w:ascii="宋体" w:hAnsi="宋体" w:cs="宋体"/>
          <w:color w:val="auto"/>
          <w:kern w:val="0"/>
        </w:rPr>
        <w:t>（2）投标人须知；</w:t>
      </w:r>
    </w:p>
    <w:p>
      <w:pPr>
        <w:snapToGrid w:val="0"/>
        <w:spacing w:line="360" w:lineRule="auto"/>
        <w:rPr>
          <w:rFonts w:hint="eastAsia" w:ascii="宋体" w:hAnsi="宋体" w:cs="宋体"/>
          <w:color w:val="auto"/>
          <w:kern w:val="0"/>
        </w:rPr>
      </w:pPr>
      <w:r>
        <w:rPr>
          <w:rFonts w:hint="eastAsia" w:ascii="宋体" w:hAnsi="宋体" w:cs="宋体"/>
          <w:color w:val="auto"/>
          <w:kern w:val="0"/>
        </w:rPr>
        <w:t>（3）评标办法；</w:t>
      </w:r>
    </w:p>
    <w:p>
      <w:pPr>
        <w:snapToGrid w:val="0"/>
        <w:spacing w:line="360" w:lineRule="auto"/>
        <w:rPr>
          <w:rFonts w:hint="eastAsia" w:ascii="宋体" w:hAnsi="宋体" w:cs="宋体"/>
          <w:color w:val="auto"/>
          <w:kern w:val="0"/>
        </w:rPr>
      </w:pPr>
      <w:r>
        <w:rPr>
          <w:rFonts w:hint="eastAsia" w:ascii="宋体" w:hAnsi="宋体" w:cs="宋体"/>
          <w:color w:val="auto"/>
          <w:kern w:val="0"/>
        </w:rPr>
        <w:t>（4）合同条款及格式；</w:t>
      </w:r>
    </w:p>
    <w:p>
      <w:pPr>
        <w:snapToGrid w:val="0"/>
        <w:spacing w:line="360" w:lineRule="auto"/>
        <w:rPr>
          <w:rFonts w:hint="eastAsia" w:ascii="宋体" w:hAnsi="宋体" w:cs="宋体"/>
          <w:color w:val="auto"/>
          <w:kern w:val="0"/>
        </w:rPr>
      </w:pPr>
      <w:r>
        <w:rPr>
          <w:rFonts w:hint="eastAsia" w:ascii="宋体" w:hAnsi="宋体" w:cs="宋体"/>
          <w:color w:val="auto"/>
          <w:kern w:val="0"/>
        </w:rPr>
        <w:t>（5）供货要求；</w:t>
      </w:r>
    </w:p>
    <w:p>
      <w:pPr>
        <w:snapToGrid w:val="0"/>
        <w:spacing w:line="360" w:lineRule="auto"/>
        <w:rPr>
          <w:rFonts w:hint="eastAsia" w:ascii="宋体" w:hAnsi="宋体" w:cs="宋体"/>
          <w:color w:val="auto"/>
          <w:kern w:val="0"/>
        </w:rPr>
      </w:pPr>
      <w:r>
        <w:rPr>
          <w:rFonts w:hint="eastAsia" w:ascii="宋体" w:hAnsi="宋体" w:cs="宋体"/>
          <w:color w:val="auto"/>
          <w:kern w:val="0"/>
        </w:rPr>
        <w:t>（6）投标文件格式；</w:t>
      </w:r>
    </w:p>
    <w:p>
      <w:pPr>
        <w:snapToGrid w:val="0"/>
        <w:spacing w:line="360" w:lineRule="auto"/>
        <w:rPr>
          <w:rFonts w:hint="eastAsia" w:ascii="宋体" w:hAnsi="宋体" w:cs="宋体"/>
          <w:color w:val="auto"/>
          <w:kern w:val="0"/>
        </w:rPr>
      </w:pPr>
      <w:r>
        <w:rPr>
          <w:rFonts w:hint="eastAsia" w:ascii="宋体" w:hAnsi="宋体" w:cs="宋体"/>
          <w:color w:val="auto"/>
          <w:kern w:val="0"/>
        </w:rPr>
        <w:t>（7）投标人须知前附表规定的其他资料。</w:t>
      </w:r>
    </w:p>
    <w:p>
      <w:pPr>
        <w:snapToGrid w:val="0"/>
        <w:spacing w:line="360" w:lineRule="auto"/>
        <w:rPr>
          <w:rFonts w:hint="eastAsia" w:ascii="宋体" w:hAnsi="宋体" w:cs="宋体"/>
          <w:color w:val="auto"/>
          <w:kern w:val="0"/>
        </w:rPr>
      </w:pPr>
      <w:r>
        <w:rPr>
          <w:rFonts w:hint="eastAsia" w:ascii="宋体" w:hAnsi="宋体" w:cs="宋体"/>
          <w:color w:val="auto"/>
          <w:kern w:val="0"/>
        </w:rPr>
        <w:t>根据本章第1.9款、第2.2款和第2.3款对招标文件</w:t>
      </w:r>
      <w:r>
        <w:rPr>
          <w:rFonts w:hint="eastAsia" w:ascii="宋体" w:hAnsi="宋体" w:cs="宋体"/>
          <w:color w:val="auto"/>
          <w:kern w:val="0"/>
          <w:highlight w:val="none"/>
          <w:lang w:eastAsia="zh-CN"/>
        </w:rPr>
        <w:t>所做的</w:t>
      </w:r>
      <w:r>
        <w:rPr>
          <w:rFonts w:hint="eastAsia" w:ascii="宋体" w:hAnsi="宋体" w:cs="宋体"/>
          <w:color w:val="auto"/>
          <w:kern w:val="0"/>
        </w:rPr>
        <w:t>澄清、修改，构成招标文件的组成部分。</w:t>
      </w:r>
    </w:p>
    <w:p>
      <w:pPr>
        <w:snapToGrid w:val="0"/>
        <w:spacing w:line="360" w:lineRule="auto"/>
        <w:outlineLvl w:val="1"/>
        <w:rPr>
          <w:rFonts w:hint="eastAsia" w:ascii="宋体" w:hAnsi="宋体" w:cs="宋体"/>
          <w:color w:val="auto"/>
          <w:kern w:val="0"/>
        </w:rPr>
      </w:pPr>
      <w:bookmarkStart w:id="47" w:name="_Toc23946"/>
      <w:bookmarkStart w:id="48" w:name="_Toc23892"/>
      <w:r>
        <w:rPr>
          <w:rFonts w:hint="eastAsia" w:ascii="宋体" w:hAnsi="宋体" w:cs="宋体"/>
          <w:color w:val="auto"/>
          <w:kern w:val="0"/>
        </w:rPr>
        <w:t>2.2招标文件的澄清</w:t>
      </w:r>
      <w:bookmarkEnd w:id="47"/>
      <w:bookmarkEnd w:id="48"/>
    </w:p>
    <w:p>
      <w:pPr>
        <w:snapToGrid w:val="0"/>
        <w:spacing w:line="360" w:lineRule="auto"/>
        <w:rPr>
          <w:rFonts w:hint="eastAsia" w:ascii="宋体" w:hAnsi="宋体" w:cs="宋体"/>
          <w:color w:val="auto"/>
          <w:kern w:val="0"/>
        </w:rPr>
      </w:pPr>
      <w:r>
        <w:rPr>
          <w:rFonts w:hint="eastAsia" w:ascii="宋体" w:hAnsi="宋体" w:cs="宋体"/>
          <w:color w:val="auto"/>
          <w:kern w:val="0"/>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napToGrid w:val="0"/>
        <w:spacing w:line="360" w:lineRule="auto"/>
        <w:rPr>
          <w:rFonts w:hint="eastAsia" w:ascii="宋体" w:hAnsi="宋体" w:cs="宋体"/>
          <w:color w:val="auto"/>
          <w:kern w:val="0"/>
        </w:rPr>
      </w:pPr>
      <w:r>
        <w:rPr>
          <w:rFonts w:hint="eastAsia" w:ascii="宋体" w:hAnsi="宋体" w:cs="宋体"/>
          <w:color w:val="auto"/>
          <w:kern w:val="0"/>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napToGrid w:val="0"/>
        <w:spacing w:line="360" w:lineRule="auto"/>
        <w:rPr>
          <w:rFonts w:hint="eastAsia" w:ascii="宋体" w:hAnsi="宋体" w:cs="宋体"/>
          <w:color w:val="auto"/>
          <w:kern w:val="0"/>
        </w:rPr>
      </w:pPr>
      <w:r>
        <w:rPr>
          <w:rFonts w:hint="eastAsia" w:ascii="宋体" w:hAnsi="宋体" w:cs="宋体"/>
          <w:color w:val="auto"/>
          <w:kern w:val="0"/>
        </w:rPr>
        <w:t>2.2.3投标人在收到澄清后，应按投标人须知前附表规定的时间和形式通知招标人，确认已收到该澄清。</w:t>
      </w:r>
    </w:p>
    <w:p>
      <w:pPr>
        <w:snapToGrid w:val="0"/>
        <w:spacing w:line="360" w:lineRule="auto"/>
        <w:rPr>
          <w:rFonts w:hint="eastAsia" w:ascii="宋体" w:hAnsi="宋体" w:cs="宋体"/>
          <w:color w:val="auto"/>
          <w:kern w:val="0"/>
        </w:rPr>
      </w:pPr>
      <w:r>
        <w:rPr>
          <w:rFonts w:hint="eastAsia" w:ascii="宋体" w:hAnsi="宋体" w:cs="宋体"/>
          <w:color w:val="auto"/>
          <w:kern w:val="0"/>
        </w:rPr>
        <w:t>2.2.4除非招标人认为确有必要答复，否则，招标人有权拒绝回复投标人在本章第2.2.1项规定的时间后的任何澄清要求。</w:t>
      </w:r>
    </w:p>
    <w:p>
      <w:pPr>
        <w:snapToGrid w:val="0"/>
        <w:spacing w:line="360" w:lineRule="auto"/>
        <w:outlineLvl w:val="1"/>
        <w:rPr>
          <w:rFonts w:hint="eastAsia" w:ascii="宋体" w:hAnsi="宋体" w:cs="宋体"/>
          <w:color w:val="auto"/>
          <w:kern w:val="0"/>
        </w:rPr>
      </w:pPr>
      <w:bookmarkStart w:id="49" w:name="_Toc20879"/>
      <w:bookmarkStart w:id="50" w:name="_Toc31609"/>
      <w:r>
        <w:rPr>
          <w:rFonts w:hint="eastAsia" w:ascii="宋体" w:hAnsi="宋体" w:cs="宋体"/>
          <w:color w:val="auto"/>
          <w:kern w:val="0"/>
        </w:rPr>
        <w:t>2.3招标文件的修改</w:t>
      </w:r>
      <w:bookmarkEnd w:id="49"/>
      <w:bookmarkEnd w:id="50"/>
    </w:p>
    <w:p>
      <w:pPr>
        <w:snapToGrid w:val="0"/>
        <w:spacing w:line="360" w:lineRule="auto"/>
        <w:rPr>
          <w:rFonts w:hint="eastAsia" w:ascii="宋体" w:hAnsi="宋体" w:cs="宋体"/>
          <w:color w:val="auto"/>
          <w:kern w:val="0"/>
        </w:rPr>
      </w:pPr>
      <w:r>
        <w:rPr>
          <w:rFonts w:hint="eastAsia" w:ascii="宋体" w:hAnsi="宋体" w:cs="宋体"/>
          <w:color w:val="auto"/>
          <w:kern w:val="0"/>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snapToGrid w:val="0"/>
        <w:spacing w:line="360" w:lineRule="auto"/>
        <w:rPr>
          <w:rFonts w:hint="eastAsia" w:ascii="宋体" w:hAnsi="宋体" w:cs="宋体"/>
          <w:color w:val="auto"/>
          <w:kern w:val="0"/>
        </w:rPr>
      </w:pPr>
      <w:r>
        <w:rPr>
          <w:rFonts w:hint="eastAsia" w:ascii="宋体" w:hAnsi="宋体" w:cs="宋体"/>
          <w:color w:val="auto"/>
          <w:kern w:val="0"/>
        </w:rPr>
        <w:t>2.3.2投标人收到修改内容后，应按投标人须知前附表规定的时间和形式通知招标人，确认已收到该修改。</w:t>
      </w:r>
    </w:p>
    <w:p>
      <w:pPr>
        <w:snapToGrid w:val="0"/>
        <w:spacing w:line="360" w:lineRule="auto"/>
        <w:outlineLvl w:val="1"/>
        <w:rPr>
          <w:rFonts w:hint="eastAsia" w:ascii="宋体" w:hAnsi="宋体" w:cs="宋体"/>
          <w:color w:val="auto"/>
          <w:kern w:val="0"/>
        </w:rPr>
      </w:pPr>
      <w:bookmarkStart w:id="51" w:name="_Toc19768"/>
      <w:bookmarkStart w:id="52" w:name="_Toc20227"/>
      <w:r>
        <w:rPr>
          <w:rFonts w:hint="eastAsia" w:ascii="宋体" w:hAnsi="宋体" w:cs="宋体"/>
          <w:color w:val="auto"/>
          <w:kern w:val="0"/>
        </w:rPr>
        <w:t>2.4招标文件的异议</w:t>
      </w:r>
      <w:bookmarkEnd w:id="51"/>
      <w:bookmarkEnd w:id="52"/>
    </w:p>
    <w:p>
      <w:pPr>
        <w:snapToGrid w:val="0"/>
        <w:spacing w:line="360" w:lineRule="auto"/>
        <w:rPr>
          <w:rFonts w:hint="eastAsia" w:ascii="宋体" w:hAnsi="宋体" w:cs="宋体"/>
          <w:color w:val="auto"/>
          <w:kern w:val="0"/>
        </w:rPr>
      </w:pPr>
      <w:r>
        <w:rPr>
          <w:rFonts w:hint="eastAsia" w:ascii="宋体" w:hAnsi="宋体" w:cs="宋体"/>
          <w:color w:val="auto"/>
          <w:kern w:val="0"/>
        </w:rPr>
        <w:t>投标人或者其他利害关系人对招标文件有异议的</w:t>
      </w:r>
      <w:r>
        <w:rPr>
          <w:rFonts w:hint="eastAsia" w:ascii="宋体" w:hAnsi="宋体" w:cs="宋体"/>
          <w:color w:val="auto"/>
          <w:kern w:val="0"/>
          <w:highlight w:val="none"/>
        </w:rPr>
        <w:t>，应当在投标截止时间</w:t>
      </w:r>
      <w:r>
        <w:rPr>
          <w:rFonts w:hint="eastAsia" w:ascii="宋体" w:hAnsi="宋体" w:cs="宋体"/>
          <w:color w:val="auto"/>
          <w:kern w:val="0"/>
          <w:highlight w:val="none"/>
          <w:u w:val="none"/>
          <w:lang w:val="en-US" w:eastAsia="zh-CN"/>
        </w:rPr>
        <w:t>5</w:t>
      </w:r>
      <w:r>
        <w:rPr>
          <w:rFonts w:hint="eastAsia" w:ascii="宋体" w:hAnsi="宋体" w:cs="宋体"/>
          <w:color w:val="auto"/>
          <w:kern w:val="0"/>
          <w:highlight w:val="none"/>
        </w:rPr>
        <w:t>日前以书面形</w:t>
      </w:r>
      <w:r>
        <w:rPr>
          <w:rFonts w:hint="eastAsia" w:ascii="宋体" w:hAnsi="宋体" w:cs="宋体"/>
          <w:color w:val="auto"/>
          <w:kern w:val="0"/>
        </w:rPr>
        <w:t>式提出。招标人将在收到异议之日起 3 日内</w:t>
      </w:r>
      <w:r>
        <w:rPr>
          <w:rFonts w:hint="eastAsia" w:ascii="宋体" w:hAnsi="宋体" w:cs="宋体"/>
          <w:color w:val="auto"/>
          <w:kern w:val="0"/>
          <w:highlight w:val="none"/>
          <w:lang w:eastAsia="zh-CN"/>
        </w:rPr>
        <w:t>做出答复</w:t>
      </w:r>
      <w:r>
        <w:rPr>
          <w:rFonts w:hint="eastAsia" w:ascii="宋体" w:hAnsi="宋体" w:cs="宋体"/>
          <w:color w:val="auto"/>
          <w:kern w:val="0"/>
        </w:rPr>
        <w:t>；</w:t>
      </w:r>
      <w:r>
        <w:rPr>
          <w:rFonts w:hint="eastAsia" w:ascii="宋体" w:hAnsi="宋体" w:cs="宋体"/>
          <w:color w:val="auto"/>
          <w:kern w:val="0"/>
          <w:highlight w:val="none"/>
          <w:lang w:eastAsia="zh-CN"/>
        </w:rPr>
        <w:t>做出答复</w:t>
      </w:r>
      <w:r>
        <w:rPr>
          <w:rFonts w:hint="eastAsia" w:ascii="宋体" w:hAnsi="宋体" w:cs="宋体"/>
          <w:color w:val="auto"/>
          <w:kern w:val="0"/>
        </w:rPr>
        <w:t>前，将暂停招标投标活动。</w:t>
      </w:r>
    </w:p>
    <w:p>
      <w:pPr>
        <w:pStyle w:val="4"/>
        <w:snapToGrid w:val="0"/>
        <w:spacing w:before="0" w:after="0" w:line="360" w:lineRule="auto"/>
        <w:outlineLvl w:val="0"/>
        <w:rPr>
          <w:rFonts w:hint="eastAsia" w:ascii="宋体" w:hAnsi="宋体" w:cs="宋体"/>
          <w:color w:val="auto"/>
        </w:rPr>
      </w:pPr>
      <w:bookmarkStart w:id="53" w:name="_Toc19459"/>
      <w:bookmarkStart w:id="54" w:name="_Toc409"/>
      <w:bookmarkStart w:id="55" w:name="_Toc40699922"/>
      <w:bookmarkStart w:id="56" w:name="_Toc47023086"/>
      <w:bookmarkStart w:id="57" w:name="_Toc27946"/>
      <w:bookmarkStart w:id="58" w:name="_Toc27658"/>
      <w:r>
        <w:rPr>
          <w:rFonts w:hint="eastAsia" w:ascii="宋体" w:hAnsi="宋体" w:cs="宋体"/>
          <w:color w:val="auto"/>
        </w:rPr>
        <w:t>3.投标文件</w:t>
      </w:r>
      <w:bookmarkEnd w:id="53"/>
      <w:bookmarkEnd w:id="54"/>
      <w:bookmarkEnd w:id="55"/>
      <w:bookmarkEnd w:id="56"/>
      <w:bookmarkEnd w:id="57"/>
      <w:bookmarkEnd w:id="58"/>
    </w:p>
    <w:p>
      <w:pPr>
        <w:snapToGrid w:val="0"/>
        <w:spacing w:line="360" w:lineRule="auto"/>
        <w:outlineLvl w:val="1"/>
        <w:rPr>
          <w:rFonts w:hint="eastAsia" w:ascii="宋体" w:hAnsi="宋体" w:cs="宋体"/>
          <w:color w:val="auto"/>
          <w:kern w:val="0"/>
        </w:rPr>
      </w:pPr>
      <w:bookmarkStart w:id="59" w:name="_Toc20351"/>
      <w:bookmarkStart w:id="60" w:name="_Toc8285"/>
      <w:r>
        <w:rPr>
          <w:rFonts w:hint="eastAsia" w:ascii="宋体" w:hAnsi="宋体" w:cs="宋体"/>
          <w:color w:val="auto"/>
          <w:kern w:val="0"/>
        </w:rPr>
        <w:t>3.1投标文件的组成</w:t>
      </w:r>
      <w:bookmarkEnd w:id="59"/>
      <w:bookmarkEnd w:id="60"/>
    </w:p>
    <w:p>
      <w:pPr>
        <w:snapToGrid w:val="0"/>
        <w:spacing w:line="360" w:lineRule="auto"/>
        <w:rPr>
          <w:rFonts w:hint="eastAsia" w:ascii="宋体" w:hAnsi="宋体" w:cs="宋体"/>
          <w:color w:val="auto"/>
          <w:kern w:val="0"/>
        </w:rPr>
      </w:pPr>
      <w:r>
        <w:rPr>
          <w:rFonts w:hint="eastAsia" w:ascii="宋体" w:hAnsi="宋体" w:cs="宋体"/>
          <w:color w:val="auto"/>
          <w:kern w:val="0"/>
        </w:rPr>
        <w:t>3.1.1投标文件应包括下列内容：</w:t>
      </w:r>
    </w:p>
    <w:p>
      <w:pPr>
        <w:snapToGrid w:val="0"/>
        <w:spacing w:line="360" w:lineRule="auto"/>
        <w:rPr>
          <w:rFonts w:hint="eastAsia" w:ascii="宋体" w:hAnsi="宋体" w:cs="宋体"/>
          <w:color w:val="auto"/>
          <w:kern w:val="0"/>
        </w:rPr>
      </w:pPr>
      <w:r>
        <w:rPr>
          <w:rFonts w:hint="eastAsia" w:ascii="宋体" w:hAnsi="宋体" w:cs="宋体"/>
          <w:color w:val="auto"/>
          <w:kern w:val="0"/>
        </w:rPr>
        <w:t>（1）投标函；</w:t>
      </w:r>
    </w:p>
    <w:p>
      <w:pPr>
        <w:snapToGrid w:val="0"/>
        <w:spacing w:line="360" w:lineRule="auto"/>
        <w:rPr>
          <w:rFonts w:hint="eastAsia" w:ascii="宋体" w:hAnsi="宋体" w:cs="宋体"/>
          <w:color w:val="auto"/>
          <w:kern w:val="0"/>
        </w:rPr>
      </w:pPr>
      <w:r>
        <w:rPr>
          <w:rFonts w:hint="eastAsia" w:ascii="宋体" w:hAnsi="宋体" w:cs="宋体"/>
          <w:color w:val="auto"/>
          <w:kern w:val="0"/>
        </w:rPr>
        <w:t>（2）法定代表人（单位负责人）身份证明；</w:t>
      </w:r>
    </w:p>
    <w:p>
      <w:pPr>
        <w:snapToGrid w:val="0"/>
        <w:spacing w:line="360" w:lineRule="auto"/>
        <w:rPr>
          <w:rFonts w:hint="eastAsia" w:ascii="宋体" w:hAnsi="宋体" w:cs="宋体"/>
          <w:color w:val="auto"/>
          <w:kern w:val="0"/>
        </w:rPr>
      </w:pPr>
      <w:r>
        <w:rPr>
          <w:rFonts w:hint="eastAsia" w:ascii="宋体" w:hAnsi="宋体" w:cs="宋体"/>
          <w:color w:val="auto"/>
          <w:kern w:val="0"/>
        </w:rPr>
        <w:t>（3）授权委托书；</w:t>
      </w:r>
    </w:p>
    <w:p>
      <w:pPr>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（4）联合体协议书（如有）；</w:t>
      </w:r>
    </w:p>
    <w:p>
      <w:pPr>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（5）投标保证金</w:t>
      </w:r>
      <w:r>
        <w:rPr>
          <w:rFonts w:hint="eastAsia" w:ascii="宋体" w:hAnsi="宋体" w:cs="宋体"/>
          <w:color w:val="auto"/>
          <w:kern w:val="0"/>
          <w:highlight w:val="none"/>
          <w:lang w:eastAsia="zh-CN"/>
        </w:rPr>
        <w:t>（如有）</w:t>
      </w:r>
      <w:r>
        <w:rPr>
          <w:rFonts w:hint="eastAsia" w:ascii="宋体" w:hAnsi="宋体" w:cs="宋体"/>
          <w:color w:val="auto"/>
          <w:kern w:val="0"/>
          <w:highlight w:val="none"/>
        </w:rPr>
        <w:t>；</w:t>
      </w:r>
    </w:p>
    <w:p>
      <w:pPr>
        <w:snapToGrid w:val="0"/>
        <w:spacing w:line="360" w:lineRule="auto"/>
        <w:rPr>
          <w:rFonts w:hint="eastAsia" w:ascii="宋体" w:hAnsi="宋体" w:cs="宋体"/>
          <w:color w:val="auto"/>
          <w:kern w:val="0"/>
        </w:rPr>
      </w:pPr>
      <w:r>
        <w:rPr>
          <w:rFonts w:hint="eastAsia" w:ascii="宋体" w:hAnsi="宋体" w:cs="宋体"/>
          <w:color w:val="auto"/>
          <w:kern w:val="0"/>
        </w:rPr>
        <w:t>（6）商务和技术偏差表；</w:t>
      </w:r>
    </w:p>
    <w:p>
      <w:pPr>
        <w:snapToGrid w:val="0"/>
        <w:spacing w:line="360" w:lineRule="auto"/>
        <w:rPr>
          <w:rFonts w:hint="eastAsia" w:ascii="宋体" w:hAnsi="宋体" w:cs="宋体"/>
          <w:color w:val="auto"/>
          <w:kern w:val="0"/>
        </w:rPr>
      </w:pPr>
      <w:r>
        <w:rPr>
          <w:rFonts w:hint="eastAsia" w:ascii="宋体" w:hAnsi="宋体" w:cs="宋体"/>
          <w:color w:val="auto"/>
          <w:kern w:val="0"/>
        </w:rPr>
        <w:t>（7）报价表；</w:t>
      </w:r>
    </w:p>
    <w:p>
      <w:pPr>
        <w:snapToGrid w:val="0"/>
        <w:spacing w:line="360" w:lineRule="auto"/>
        <w:rPr>
          <w:rFonts w:hint="eastAsia" w:ascii="宋体" w:hAnsi="宋体" w:cs="宋体"/>
          <w:color w:val="auto"/>
          <w:kern w:val="0"/>
        </w:rPr>
      </w:pPr>
      <w:r>
        <w:rPr>
          <w:rFonts w:hint="eastAsia" w:ascii="宋体" w:hAnsi="宋体" w:cs="宋体"/>
          <w:color w:val="auto"/>
          <w:kern w:val="0"/>
        </w:rPr>
        <w:t>（8）资格审查资料；</w:t>
      </w:r>
    </w:p>
    <w:p>
      <w:pPr>
        <w:snapToGrid w:val="0"/>
        <w:spacing w:line="360" w:lineRule="auto"/>
        <w:rPr>
          <w:rFonts w:hint="eastAsia" w:ascii="宋体" w:hAnsi="宋体" w:cs="宋体"/>
          <w:color w:val="auto"/>
          <w:kern w:val="0"/>
        </w:rPr>
      </w:pPr>
      <w:r>
        <w:rPr>
          <w:rFonts w:hint="eastAsia" w:ascii="宋体" w:hAnsi="宋体" w:cs="宋体"/>
          <w:color w:val="auto"/>
          <w:kern w:val="0"/>
        </w:rPr>
        <w:t>（9）投标设备技术性能指标的详细描述；</w:t>
      </w:r>
    </w:p>
    <w:p>
      <w:pPr>
        <w:snapToGrid w:val="0"/>
        <w:spacing w:line="360" w:lineRule="auto"/>
        <w:rPr>
          <w:rFonts w:hint="eastAsia" w:ascii="宋体" w:hAnsi="宋体" w:cs="宋体"/>
          <w:color w:val="auto"/>
          <w:kern w:val="0"/>
        </w:rPr>
      </w:pPr>
      <w:r>
        <w:rPr>
          <w:rFonts w:hint="eastAsia" w:ascii="宋体" w:hAnsi="宋体" w:cs="宋体"/>
          <w:color w:val="auto"/>
          <w:kern w:val="0"/>
        </w:rPr>
        <w:t>（10）技术支持资料；</w:t>
      </w:r>
    </w:p>
    <w:p>
      <w:pPr>
        <w:snapToGrid w:val="0"/>
        <w:spacing w:line="360" w:lineRule="auto"/>
        <w:rPr>
          <w:rFonts w:hint="eastAsia" w:ascii="宋体" w:hAnsi="宋体" w:cs="宋体"/>
          <w:color w:val="auto"/>
          <w:kern w:val="0"/>
        </w:rPr>
      </w:pPr>
      <w:r>
        <w:rPr>
          <w:rFonts w:hint="eastAsia" w:ascii="宋体" w:hAnsi="宋体" w:cs="宋体"/>
          <w:color w:val="auto"/>
          <w:kern w:val="0"/>
        </w:rPr>
        <w:t>（11）技术服务和质保期服务计划；</w:t>
      </w:r>
    </w:p>
    <w:p>
      <w:pPr>
        <w:snapToGrid w:val="0"/>
        <w:spacing w:line="360" w:lineRule="auto"/>
        <w:rPr>
          <w:rFonts w:hint="eastAsia" w:ascii="宋体" w:hAnsi="宋体" w:cs="宋体"/>
          <w:color w:val="auto"/>
          <w:kern w:val="0"/>
        </w:rPr>
      </w:pPr>
      <w:r>
        <w:rPr>
          <w:rFonts w:hint="eastAsia" w:ascii="宋体" w:hAnsi="宋体" w:cs="宋体"/>
          <w:color w:val="auto"/>
          <w:kern w:val="0"/>
        </w:rPr>
        <w:t>（12）投标人须知前附表规定的其他资料。</w:t>
      </w:r>
    </w:p>
    <w:p>
      <w:pPr>
        <w:snapToGrid w:val="0"/>
        <w:spacing w:line="360" w:lineRule="auto"/>
        <w:rPr>
          <w:rFonts w:hint="eastAsia" w:ascii="宋体" w:hAnsi="宋体" w:cs="宋体"/>
          <w:color w:val="auto"/>
          <w:kern w:val="0"/>
        </w:rPr>
      </w:pPr>
      <w:r>
        <w:rPr>
          <w:rFonts w:hint="eastAsia" w:ascii="宋体" w:hAnsi="宋体" w:cs="宋体"/>
          <w:color w:val="auto"/>
          <w:kern w:val="0"/>
        </w:rPr>
        <w:t>投标人在评标过程中作出的符合法律法规和招标文件规定的澄清确认，构成投标文件的组成部分。</w:t>
      </w:r>
    </w:p>
    <w:p>
      <w:pPr>
        <w:snapToGrid w:val="0"/>
        <w:spacing w:line="360" w:lineRule="auto"/>
        <w:rPr>
          <w:rFonts w:hint="eastAsia" w:ascii="宋体" w:hAnsi="宋体" w:cs="宋体"/>
          <w:color w:val="auto"/>
          <w:kern w:val="0"/>
        </w:rPr>
      </w:pPr>
      <w:r>
        <w:rPr>
          <w:rFonts w:hint="eastAsia" w:ascii="宋体" w:hAnsi="宋体" w:cs="宋体"/>
          <w:color w:val="auto"/>
          <w:kern w:val="0"/>
        </w:rPr>
        <w:t>3.1.2投标人须知前附表规定不接受联合体投标的，或投标人没有组成联合体的，投标文件不包括本章第3.1.1（4）目所指的联合体协议书。</w:t>
      </w:r>
    </w:p>
    <w:p>
      <w:pPr>
        <w:snapToGrid w:val="0"/>
        <w:spacing w:line="360" w:lineRule="auto"/>
        <w:rPr>
          <w:rFonts w:hint="eastAsia" w:ascii="宋体" w:hAnsi="宋体" w:cs="宋体"/>
          <w:color w:val="auto"/>
          <w:kern w:val="0"/>
        </w:rPr>
      </w:pPr>
      <w:r>
        <w:rPr>
          <w:rFonts w:hint="eastAsia" w:ascii="宋体" w:hAnsi="宋体" w:cs="宋体"/>
          <w:color w:val="auto"/>
          <w:kern w:val="0"/>
        </w:rPr>
        <w:t>3.1.3投标人须知前附表未要求提交投标保证金的，投标文件不包括本章第3.1.1（5）目所指的投标保证金。</w:t>
      </w:r>
    </w:p>
    <w:p>
      <w:pPr>
        <w:snapToGrid w:val="0"/>
        <w:spacing w:line="360" w:lineRule="auto"/>
        <w:outlineLvl w:val="1"/>
        <w:rPr>
          <w:rFonts w:hint="eastAsia" w:ascii="宋体" w:hAnsi="宋体" w:cs="宋体"/>
          <w:color w:val="auto"/>
          <w:kern w:val="0"/>
        </w:rPr>
      </w:pPr>
      <w:bookmarkStart w:id="61" w:name="_Toc10812"/>
      <w:bookmarkStart w:id="62" w:name="_Toc29090"/>
      <w:r>
        <w:rPr>
          <w:rFonts w:hint="eastAsia" w:ascii="宋体" w:hAnsi="宋体" w:cs="宋体"/>
          <w:color w:val="auto"/>
          <w:kern w:val="0"/>
        </w:rPr>
        <w:t>3.2投标报价</w:t>
      </w:r>
      <w:bookmarkEnd w:id="61"/>
      <w:bookmarkEnd w:id="62"/>
    </w:p>
    <w:p>
      <w:pPr>
        <w:snapToGrid w:val="0"/>
        <w:spacing w:line="360" w:lineRule="auto"/>
        <w:rPr>
          <w:rFonts w:hint="eastAsia" w:ascii="宋体" w:hAnsi="宋体" w:cs="宋体"/>
          <w:color w:val="auto"/>
          <w:kern w:val="0"/>
        </w:rPr>
      </w:pPr>
      <w:r>
        <w:rPr>
          <w:rFonts w:hint="eastAsia" w:ascii="宋体" w:hAnsi="宋体" w:cs="宋体"/>
          <w:color w:val="auto"/>
          <w:kern w:val="0"/>
        </w:rPr>
        <w:t>3.2.1报价为一次报价，于开标会议当天当场宣读。</w:t>
      </w:r>
    </w:p>
    <w:p>
      <w:pPr>
        <w:snapToGrid w:val="0"/>
        <w:spacing w:line="360" w:lineRule="auto"/>
        <w:rPr>
          <w:rFonts w:hint="eastAsia" w:ascii="宋体" w:hAnsi="宋体" w:cs="宋体"/>
          <w:color w:val="auto"/>
          <w:kern w:val="0"/>
        </w:rPr>
      </w:pPr>
      <w:r>
        <w:rPr>
          <w:rFonts w:hint="eastAsia" w:ascii="宋体" w:hAnsi="宋体" w:cs="宋体"/>
          <w:color w:val="auto"/>
          <w:kern w:val="0"/>
        </w:rPr>
        <w:t>3.2.2本项目不接受备选的投标方案或有选择的报价，只允许有一个报价。投标报价内容包括:设备单价以及合计总价</w:t>
      </w:r>
    </w:p>
    <w:p>
      <w:pPr>
        <w:snapToGrid w:val="0"/>
        <w:spacing w:line="360" w:lineRule="auto"/>
        <w:rPr>
          <w:rFonts w:hint="eastAsia" w:ascii="宋体" w:hAnsi="宋体" w:cs="宋体"/>
          <w:color w:val="auto"/>
          <w:kern w:val="0"/>
        </w:rPr>
      </w:pPr>
      <w:r>
        <w:rPr>
          <w:rFonts w:hint="eastAsia" w:ascii="宋体" w:hAnsi="宋体" w:cs="宋体"/>
          <w:color w:val="auto"/>
          <w:kern w:val="0"/>
        </w:rPr>
        <w:t>3.2.3价格一律以人民币计算，以元为单位标准；</w:t>
      </w:r>
    </w:p>
    <w:p>
      <w:pPr>
        <w:snapToGrid w:val="0"/>
        <w:spacing w:line="360" w:lineRule="auto"/>
        <w:rPr>
          <w:rFonts w:hint="eastAsia" w:ascii="宋体" w:hAnsi="宋体" w:cs="宋体"/>
          <w:color w:val="auto"/>
          <w:kern w:val="0"/>
        </w:rPr>
      </w:pPr>
      <w:r>
        <w:rPr>
          <w:rFonts w:hint="eastAsia" w:ascii="宋体" w:hAnsi="宋体" w:cs="宋体"/>
          <w:color w:val="auto"/>
          <w:kern w:val="0"/>
        </w:rPr>
        <w:t>3.2.4投标报价应包括国家规定的增值税税金，除投标人须知前附表另有规定外，增值税税金按国家法律及相关规定计算。投标人应按第</w:t>
      </w:r>
      <w:r>
        <w:rPr>
          <w:rFonts w:hint="eastAsia" w:ascii="宋体" w:hAnsi="宋体" w:cs="宋体"/>
          <w:color w:val="auto"/>
          <w:kern w:val="0"/>
          <w:lang w:val="en-US" w:eastAsia="zh-CN"/>
        </w:rPr>
        <w:t>六</w:t>
      </w:r>
      <w:r>
        <w:rPr>
          <w:rFonts w:hint="eastAsia" w:ascii="宋体" w:hAnsi="宋体" w:cs="宋体"/>
          <w:color w:val="auto"/>
          <w:kern w:val="0"/>
        </w:rPr>
        <w:t>章“投标文件格式”的要求在投标函中进行报价并填写分项报价表。</w:t>
      </w:r>
    </w:p>
    <w:p>
      <w:pPr>
        <w:snapToGrid w:val="0"/>
        <w:spacing w:line="360" w:lineRule="auto"/>
        <w:rPr>
          <w:rFonts w:hint="eastAsia" w:ascii="宋体" w:hAnsi="宋体" w:cs="宋体"/>
          <w:color w:val="auto"/>
          <w:kern w:val="0"/>
        </w:rPr>
      </w:pPr>
      <w:r>
        <w:rPr>
          <w:rFonts w:hint="eastAsia" w:ascii="宋体" w:hAnsi="宋体" w:cs="宋体"/>
          <w:color w:val="auto"/>
          <w:kern w:val="0"/>
        </w:rPr>
        <w:t>3.2.5投标人应充分了解该项目的总体情况以及影响投标报价的其他要素，一旦评标结束最终中标，如发生漏、缺、</w:t>
      </w:r>
      <w:r>
        <w:rPr>
          <w:rFonts w:hint="eastAsia" w:ascii="宋体" w:hAnsi="宋体" w:cs="宋体"/>
          <w:color w:val="auto"/>
          <w:kern w:val="0"/>
          <w:highlight w:val="none"/>
        </w:rPr>
        <w:t>少项</w:t>
      </w:r>
      <w:r>
        <w:rPr>
          <w:rFonts w:hint="eastAsia" w:ascii="宋体" w:hAnsi="宋体" w:cs="宋体"/>
          <w:color w:val="auto"/>
          <w:kern w:val="0"/>
        </w:rPr>
        <w:t>，都将被认为是中标人的报价让利行为，损失自负。</w:t>
      </w:r>
    </w:p>
    <w:p>
      <w:pPr>
        <w:snapToGrid w:val="0"/>
        <w:spacing w:line="360" w:lineRule="auto"/>
        <w:rPr>
          <w:rFonts w:hint="eastAsia" w:ascii="宋体" w:hAnsi="宋体" w:cs="宋体"/>
          <w:color w:val="auto"/>
          <w:kern w:val="0"/>
        </w:rPr>
      </w:pPr>
      <w:r>
        <w:rPr>
          <w:rFonts w:hint="eastAsia" w:ascii="宋体" w:hAnsi="宋体" w:cs="宋体"/>
          <w:color w:val="auto"/>
          <w:kern w:val="0"/>
        </w:rPr>
        <w:t>3.2.6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“分项报价表”中的相应报价。此修改须符合本章第4.3款的有关要求。</w:t>
      </w:r>
    </w:p>
    <w:p>
      <w:pPr>
        <w:snapToGrid w:val="0"/>
        <w:spacing w:line="360" w:lineRule="auto"/>
        <w:rPr>
          <w:rFonts w:hint="eastAsia" w:ascii="宋体" w:hAnsi="宋体" w:cs="宋体"/>
          <w:color w:val="auto"/>
          <w:kern w:val="0"/>
        </w:rPr>
      </w:pPr>
      <w:r>
        <w:rPr>
          <w:rFonts w:hint="eastAsia" w:ascii="宋体" w:hAnsi="宋体" w:cs="宋体"/>
          <w:color w:val="auto"/>
          <w:kern w:val="0"/>
        </w:rPr>
        <w:t>3.2.7招标人设有最高投标限价的，投标人的投标报价不得超过最高投标限价，最高投标限价在投标人须知前附表中载明。</w:t>
      </w:r>
    </w:p>
    <w:p>
      <w:pPr>
        <w:snapToGrid w:val="0"/>
        <w:spacing w:line="360" w:lineRule="auto"/>
        <w:rPr>
          <w:rFonts w:hint="eastAsia" w:ascii="宋体" w:hAnsi="宋体" w:cs="宋体"/>
          <w:color w:val="auto"/>
          <w:kern w:val="0"/>
        </w:rPr>
      </w:pPr>
      <w:r>
        <w:rPr>
          <w:rFonts w:hint="eastAsia" w:ascii="宋体" w:hAnsi="宋体" w:cs="宋体"/>
          <w:color w:val="auto"/>
          <w:kern w:val="0"/>
        </w:rPr>
        <w:t>3.2.8投标报价的其他要求见投标人须知前附表。</w:t>
      </w:r>
    </w:p>
    <w:p>
      <w:pPr>
        <w:snapToGrid w:val="0"/>
        <w:spacing w:line="360" w:lineRule="auto"/>
        <w:outlineLvl w:val="1"/>
        <w:rPr>
          <w:rFonts w:hint="eastAsia" w:ascii="宋体" w:hAnsi="宋体" w:cs="宋体"/>
          <w:color w:val="auto"/>
          <w:kern w:val="0"/>
        </w:rPr>
      </w:pPr>
      <w:bookmarkStart w:id="63" w:name="_Toc16611"/>
      <w:bookmarkStart w:id="64" w:name="_Toc31979"/>
      <w:r>
        <w:rPr>
          <w:rFonts w:hint="eastAsia" w:ascii="宋体" w:hAnsi="宋体" w:cs="宋体"/>
          <w:color w:val="auto"/>
          <w:kern w:val="0"/>
        </w:rPr>
        <w:t>3.3投标有效期</w:t>
      </w:r>
      <w:bookmarkEnd w:id="63"/>
      <w:bookmarkEnd w:id="64"/>
    </w:p>
    <w:p>
      <w:pPr>
        <w:spacing w:line="500" w:lineRule="exact"/>
        <w:rPr>
          <w:rFonts w:hint="eastAsia" w:ascii="宋体" w:hAnsi="宋体" w:cs="宋体"/>
          <w:color w:val="auto"/>
          <w:kern w:val="0"/>
        </w:rPr>
      </w:pPr>
      <w:r>
        <w:rPr>
          <w:rFonts w:hint="eastAsia" w:ascii="宋体" w:hAnsi="宋体" w:cs="宋体"/>
          <w:color w:val="auto"/>
          <w:kern w:val="0"/>
        </w:rPr>
        <w:t>3.3.1除投标人须知前附表另有规定外，投标有效期为 60 天。投标有效期不满足招标文件要求的将视为非响应性文件予以拒绝。</w:t>
      </w:r>
    </w:p>
    <w:p>
      <w:pPr>
        <w:snapToGrid w:val="0"/>
        <w:spacing w:line="360" w:lineRule="auto"/>
        <w:rPr>
          <w:rFonts w:hint="eastAsia" w:ascii="宋体" w:hAnsi="宋体" w:cs="宋体"/>
          <w:color w:val="auto"/>
          <w:kern w:val="0"/>
        </w:rPr>
      </w:pPr>
      <w:r>
        <w:rPr>
          <w:rFonts w:hint="eastAsia" w:ascii="宋体" w:hAnsi="宋体" w:cs="宋体"/>
          <w:color w:val="auto"/>
          <w:kern w:val="0"/>
        </w:rPr>
        <w:t>3.3.2在投标有效期内，投标人撤销投标文件的，应承担招标文件和法律规定的责任。</w:t>
      </w:r>
    </w:p>
    <w:p>
      <w:pPr>
        <w:snapToGrid w:val="0"/>
        <w:spacing w:line="360" w:lineRule="auto"/>
        <w:rPr>
          <w:rFonts w:hint="eastAsia" w:ascii="宋体" w:hAnsi="宋体" w:cs="宋体"/>
          <w:color w:val="auto"/>
          <w:kern w:val="0"/>
        </w:rPr>
      </w:pPr>
      <w:r>
        <w:rPr>
          <w:rFonts w:hint="eastAsia" w:ascii="宋体" w:hAnsi="宋体" w:cs="宋体"/>
          <w:color w:val="auto"/>
          <w:kern w:val="0"/>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napToGrid w:val="0"/>
        <w:spacing w:line="360" w:lineRule="auto"/>
        <w:ind w:firstLine="422"/>
        <w:outlineLvl w:val="1"/>
        <w:rPr>
          <w:rFonts w:hint="eastAsia" w:ascii="宋体" w:hAnsi="宋体" w:cs="宋体"/>
          <w:b/>
          <w:bCs/>
          <w:color w:val="auto"/>
          <w:kern w:val="0"/>
          <w:highlight w:val="none"/>
        </w:rPr>
      </w:pPr>
      <w:bookmarkStart w:id="65" w:name="_Toc16343"/>
      <w:bookmarkStart w:id="66" w:name="_Toc25580"/>
      <w:r>
        <w:rPr>
          <w:rFonts w:hint="eastAsia" w:ascii="宋体" w:hAnsi="宋体" w:cs="宋体"/>
          <w:b/>
          <w:bCs/>
          <w:color w:val="auto"/>
          <w:kern w:val="0"/>
          <w:highlight w:val="none"/>
        </w:rPr>
        <w:t>3.4投标保证金</w:t>
      </w:r>
      <w:bookmarkEnd w:id="65"/>
      <w:bookmarkEnd w:id="66"/>
    </w:p>
    <w:p>
      <w:pPr>
        <w:snapToGrid w:val="0"/>
        <w:spacing w:line="360" w:lineRule="auto"/>
        <w:rPr>
          <w:rFonts w:hint="eastAsia" w:ascii="宋体" w:hAnsi="宋体" w:cs="宋体"/>
          <w:color w:val="auto"/>
          <w:kern w:val="0"/>
        </w:rPr>
      </w:pPr>
      <w:r>
        <w:rPr>
          <w:rFonts w:hint="eastAsia" w:ascii="宋体" w:hAnsi="宋体" w:cs="宋体"/>
          <w:color w:val="auto"/>
          <w:kern w:val="0"/>
        </w:rPr>
        <w:t>3.4.1投标人在递交投标文件的同时，应按投标人须知前附表规定的金额、形式和第</w:t>
      </w:r>
      <w:r>
        <w:rPr>
          <w:rFonts w:hint="eastAsia" w:ascii="宋体" w:hAnsi="宋体" w:cs="宋体"/>
          <w:color w:val="auto"/>
          <w:kern w:val="0"/>
          <w:lang w:val="en-US" w:eastAsia="zh-CN"/>
        </w:rPr>
        <w:t>六</w:t>
      </w:r>
      <w:r>
        <w:rPr>
          <w:rFonts w:hint="eastAsia" w:ascii="宋体" w:hAnsi="宋体" w:cs="宋体"/>
          <w:color w:val="auto"/>
          <w:kern w:val="0"/>
        </w:rPr>
        <w:t>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napToGrid w:val="0"/>
        <w:spacing w:line="360" w:lineRule="auto"/>
        <w:rPr>
          <w:rFonts w:hint="eastAsia" w:ascii="宋体" w:hAnsi="宋体" w:cs="宋体"/>
          <w:color w:val="auto"/>
          <w:kern w:val="0"/>
        </w:rPr>
      </w:pPr>
      <w:r>
        <w:rPr>
          <w:rFonts w:hint="eastAsia" w:ascii="宋体" w:hAnsi="宋体" w:cs="宋体"/>
          <w:color w:val="auto"/>
          <w:kern w:val="0"/>
        </w:rPr>
        <w:t>3.4.2投标人不按本章第3.4.1项要求提交投标保证金的，评标委员会将否决其投标。</w:t>
      </w:r>
    </w:p>
    <w:p>
      <w:pPr>
        <w:snapToGrid w:val="0"/>
        <w:spacing w:line="360" w:lineRule="auto"/>
        <w:rPr>
          <w:rFonts w:hint="eastAsia" w:ascii="宋体" w:hAnsi="宋体" w:cs="宋体"/>
          <w:color w:val="auto"/>
          <w:kern w:val="0"/>
        </w:rPr>
      </w:pPr>
      <w:r>
        <w:rPr>
          <w:rFonts w:hint="eastAsia" w:ascii="宋体" w:hAnsi="宋体" w:cs="宋体"/>
          <w:color w:val="auto"/>
          <w:kern w:val="0"/>
        </w:rPr>
        <w:t>3.4.3未中标投标人的投标保证金将在招标结束后3个工作日内无息退回至投标人法人账户中。</w:t>
      </w:r>
    </w:p>
    <w:p>
      <w:pPr>
        <w:snapToGrid w:val="0"/>
        <w:spacing w:line="360" w:lineRule="auto"/>
        <w:rPr>
          <w:rFonts w:hint="eastAsia" w:ascii="宋体" w:hAnsi="宋体" w:cs="宋体"/>
          <w:color w:val="auto"/>
          <w:kern w:val="0"/>
        </w:rPr>
      </w:pPr>
      <w:r>
        <w:rPr>
          <w:rFonts w:hint="eastAsia" w:ascii="宋体" w:hAnsi="宋体" w:cs="宋体"/>
          <w:color w:val="auto"/>
          <w:kern w:val="0"/>
        </w:rPr>
        <w:t>3.4.4有下列情形之一的，投标保证金将不予退还：</w:t>
      </w:r>
    </w:p>
    <w:p>
      <w:pPr>
        <w:snapToGrid w:val="0"/>
        <w:spacing w:line="360" w:lineRule="auto"/>
        <w:rPr>
          <w:rFonts w:hint="eastAsia" w:ascii="宋体" w:hAnsi="宋体" w:cs="宋体"/>
          <w:color w:val="auto"/>
          <w:kern w:val="0"/>
        </w:rPr>
      </w:pPr>
      <w:r>
        <w:rPr>
          <w:rFonts w:hint="eastAsia" w:ascii="宋体" w:hAnsi="宋体" w:cs="宋体"/>
          <w:color w:val="auto"/>
          <w:kern w:val="0"/>
        </w:rPr>
        <w:t>（1）投标人在投标有效期内撤销投标文件；</w:t>
      </w:r>
    </w:p>
    <w:p>
      <w:pPr>
        <w:snapToGrid w:val="0"/>
        <w:spacing w:line="360" w:lineRule="auto"/>
        <w:rPr>
          <w:rFonts w:hint="eastAsia" w:ascii="宋体" w:hAnsi="宋体" w:cs="宋体"/>
          <w:color w:val="auto"/>
          <w:kern w:val="0"/>
        </w:rPr>
      </w:pPr>
      <w:r>
        <w:rPr>
          <w:rFonts w:hint="eastAsia" w:ascii="宋体" w:hAnsi="宋体" w:cs="宋体"/>
          <w:color w:val="auto"/>
          <w:kern w:val="0"/>
        </w:rPr>
        <w:t>（2）中标人在收到中标通知书后，无正当理由不与招标人订立合同，在签订合同时向招标人提出附加条件，或者不按照招标文件要求提交履约保证金；</w:t>
      </w:r>
    </w:p>
    <w:p>
      <w:pPr>
        <w:snapToGrid w:val="0"/>
        <w:spacing w:line="360" w:lineRule="auto"/>
        <w:rPr>
          <w:rFonts w:hint="eastAsia" w:ascii="宋体" w:hAnsi="宋体" w:cs="宋体"/>
          <w:color w:val="auto"/>
          <w:kern w:val="0"/>
        </w:rPr>
      </w:pPr>
      <w:r>
        <w:rPr>
          <w:rFonts w:hint="eastAsia" w:ascii="宋体" w:hAnsi="宋体" w:cs="宋体"/>
          <w:color w:val="auto"/>
          <w:kern w:val="0"/>
        </w:rPr>
        <w:t>（3）发生投标人须知前附表规定的其他可以不予退还投标保证金的情形。</w:t>
      </w:r>
    </w:p>
    <w:p>
      <w:pPr>
        <w:snapToGrid w:val="0"/>
        <w:spacing w:line="360" w:lineRule="auto"/>
        <w:outlineLvl w:val="1"/>
        <w:rPr>
          <w:rFonts w:hint="eastAsia" w:ascii="宋体" w:hAnsi="宋体" w:cs="宋体"/>
          <w:color w:val="auto"/>
          <w:kern w:val="0"/>
        </w:rPr>
      </w:pPr>
      <w:bookmarkStart w:id="67" w:name="_Toc5055"/>
      <w:bookmarkStart w:id="68" w:name="_Toc16877"/>
      <w:r>
        <w:rPr>
          <w:rFonts w:hint="eastAsia" w:ascii="宋体" w:hAnsi="宋体" w:cs="宋体"/>
          <w:color w:val="auto"/>
          <w:kern w:val="0"/>
        </w:rPr>
        <w:t>3.5资格审查资料</w:t>
      </w:r>
      <w:bookmarkEnd w:id="67"/>
      <w:bookmarkEnd w:id="68"/>
    </w:p>
    <w:p>
      <w:pPr>
        <w:snapToGrid w:val="0"/>
        <w:spacing w:line="360" w:lineRule="auto"/>
        <w:rPr>
          <w:rFonts w:hint="eastAsia" w:ascii="宋体" w:hAnsi="宋体" w:cs="宋体"/>
          <w:color w:val="auto"/>
          <w:kern w:val="0"/>
        </w:rPr>
      </w:pPr>
      <w:r>
        <w:rPr>
          <w:rFonts w:hint="eastAsia" w:ascii="宋体" w:hAnsi="宋体" w:cs="宋体"/>
          <w:color w:val="auto"/>
          <w:kern w:val="0"/>
        </w:rPr>
        <w:t>除投标人须知前附表另有规定外，投标人应按下列规定提供资格审查资料，以证明其满足本章第1.4款规定的资质、财务、业绩、信誉等要求。</w:t>
      </w:r>
    </w:p>
    <w:p>
      <w:pPr>
        <w:snapToGrid w:val="0"/>
        <w:spacing w:line="360" w:lineRule="auto"/>
        <w:rPr>
          <w:rFonts w:hint="eastAsia" w:ascii="宋体" w:hAnsi="宋体" w:cs="宋体"/>
          <w:color w:val="auto"/>
          <w:kern w:val="0"/>
        </w:rPr>
      </w:pPr>
      <w:r>
        <w:rPr>
          <w:rFonts w:hint="eastAsia" w:ascii="宋体" w:hAnsi="宋体" w:cs="宋体"/>
          <w:color w:val="auto"/>
          <w:kern w:val="0"/>
        </w:rPr>
        <w:t>3.5.1“投标人基本情况表”应附投标人及其制造商（适用于代理经销商投标的情形）资格或者资质证书副本和投标材料检验或认证等材料的复印件以及：</w:t>
      </w:r>
    </w:p>
    <w:p>
      <w:pPr>
        <w:snapToGrid w:val="0"/>
        <w:spacing w:line="360" w:lineRule="auto"/>
        <w:rPr>
          <w:rFonts w:hint="eastAsia" w:ascii="宋体" w:hAnsi="宋体" w:cs="宋体"/>
          <w:color w:val="auto"/>
          <w:kern w:val="0"/>
        </w:rPr>
      </w:pPr>
      <w:r>
        <w:rPr>
          <w:rFonts w:hint="eastAsia" w:ascii="宋体" w:hAnsi="宋体" w:cs="宋体"/>
          <w:color w:val="auto"/>
          <w:kern w:val="0"/>
        </w:rPr>
        <w:t>（1）投标人为企业的，应提交营业执照和组织机构代码证的复印件（按照“三证合一”或“五证合一”登记制度进行登记的，可仅提供营业执照复印件）；</w:t>
      </w:r>
    </w:p>
    <w:p>
      <w:pPr>
        <w:snapToGrid w:val="0"/>
        <w:spacing w:line="360" w:lineRule="auto"/>
        <w:rPr>
          <w:rFonts w:hint="eastAsia" w:ascii="宋体" w:hAnsi="宋体" w:cs="宋体"/>
          <w:color w:val="auto"/>
          <w:kern w:val="0"/>
        </w:rPr>
      </w:pPr>
      <w:r>
        <w:rPr>
          <w:rFonts w:hint="eastAsia" w:ascii="宋体" w:hAnsi="宋体" w:cs="宋体"/>
          <w:color w:val="auto"/>
          <w:kern w:val="0"/>
        </w:rPr>
        <w:t>（2）投标人为依法允许经营的事业单位的，应提交事业单位法人证书和组织机构代码证的复印件。</w:t>
      </w:r>
    </w:p>
    <w:p>
      <w:pPr>
        <w:snapToGrid w:val="0"/>
        <w:spacing w:line="360" w:lineRule="auto"/>
        <w:rPr>
          <w:rFonts w:hint="eastAsia" w:ascii="宋体" w:hAnsi="宋体" w:cs="宋体"/>
          <w:color w:val="auto"/>
          <w:kern w:val="0"/>
          <w:highlight w:val="none"/>
        </w:rPr>
      </w:pPr>
      <w:r>
        <w:rPr>
          <w:rFonts w:hint="eastAsia" w:ascii="宋体" w:hAnsi="宋体" w:cs="宋体"/>
          <w:color w:val="auto"/>
          <w:kern w:val="0"/>
        </w:rPr>
        <w:t>3</w:t>
      </w:r>
      <w:r>
        <w:rPr>
          <w:rFonts w:hint="eastAsia" w:ascii="宋体" w:hAnsi="宋体" w:cs="宋体"/>
          <w:color w:val="auto"/>
          <w:kern w:val="0"/>
          <w:highlight w:val="none"/>
        </w:rPr>
        <w:t>.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3.5.3“近年完成的类似项目情况表”应附中标通知书和（或）合同协议书、设备进场验收证书等的复印件，具体时间要求见投标人须知前附表。每张表格只填写一个项目，并标明序号。</w:t>
      </w:r>
    </w:p>
    <w:p>
      <w:pPr>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3.5.4“正在供货和新承接的项目情况表”应附中标通知书和（或）合同协议书复印件。每张表格只填写一个项目，并标明序号。</w:t>
      </w:r>
    </w:p>
    <w:p>
      <w:pPr>
        <w:snapToGrid w:val="0"/>
        <w:spacing w:line="360" w:lineRule="auto"/>
        <w:rPr>
          <w:rFonts w:hint="eastAsia" w:ascii="宋体" w:hAnsi="宋体" w:cs="宋体"/>
          <w:color w:val="auto"/>
          <w:kern w:val="0"/>
        </w:rPr>
      </w:pPr>
      <w:r>
        <w:rPr>
          <w:rFonts w:hint="eastAsia" w:ascii="宋体" w:hAnsi="宋体" w:cs="宋体"/>
          <w:color w:val="auto"/>
          <w:kern w:val="0"/>
          <w:highlight w:val="none"/>
        </w:rPr>
        <w:t>3.5.5“近年发生的诉讼及仲裁情况”应说明投标人</w:t>
      </w:r>
      <w:r>
        <w:rPr>
          <w:rFonts w:hint="eastAsia" w:ascii="宋体" w:hAnsi="宋体" w:cs="宋体"/>
          <w:color w:val="auto"/>
          <w:kern w:val="0"/>
        </w:rPr>
        <w:t>败诉的设备买卖合同的相关情况，并附法院或仲裁机构作出的判决、裁决等有关法律文书复印件，具体时间要求见投标人须知前附表。</w:t>
      </w:r>
    </w:p>
    <w:p>
      <w:pPr>
        <w:snapToGrid w:val="0"/>
        <w:spacing w:line="360" w:lineRule="auto"/>
        <w:rPr>
          <w:rFonts w:hint="eastAsia" w:ascii="宋体" w:hAnsi="宋体" w:cs="宋体"/>
          <w:color w:val="auto"/>
          <w:kern w:val="0"/>
        </w:rPr>
      </w:pPr>
      <w:r>
        <w:rPr>
          <w:rFonts w:hint="eastAsia" w:ascii="宋体" w:hAnsi="宋体" w:cs="宋体"/>
          <w:color w:val="auto"/>
          <w:kern w:val="0"/>
        </w:rPr>
        <w:t>3.5.6投标人须知前附表规定接受联合体投标的，本章第3.5.1项至第3.5.5项规定的表格和资料应包括联合体各方相关情况。</w:t>
      </w:r>
    </w:p>
    <w:p>
      <w:pPr>
        <w:snapToGrid w:val="0"/>
        <w:spacing w:line="360" w:lineRule="auto"/>
        <w:outlineLvl w:val="1"/>
        <w:rPr>
          <w:rFonts w:hint="eastAsia" w:ascii="宋体" w:hAnsi="宋体" w:cs="宋体"/>
          <w:color w:val="auto"/>
          <w:kern w:val="0"/>
        </w:rPr>
      </w:pPr>
      <w:bookmarkStart w:id="69" w:name="_Toc7755"/>
      <w:bookmarkStart w:id="70" w:name="_Toc8425"/>
      <w:r>
        <w:rPr>
          <w:rFonts w:hint="eastAsia" w:ascii="宋体" w:hAnsi="宋体" w:cs="宋体"/>
          <w:color w:val="auto"/>
          <w:kern w:val="0"/>
        </w:rPr>
        <w:t>3.6备选投标方案</w:t>
      </w:r>
      <w:bookmarkEnd w:id="69"/>
      <w:bookmarkEnd w:id="70"/>
    </w:p>
    <w:p>
      <w:pPr>
        <w:snapToGrid w:val="0"/>
        <w:spacing w:line="360" w:lineRule="auto"/>
        <w:rPr>
          <w:rFonts w:hint="eastAsia" w:ascii="宋体" w:hAnsi="宋体" w:cs="宋体"/>
          <w:color w:val="auto"/>
          <w:kern w:val="0"/>
        </w:rPr>
      </w:pPr>
      <w:r>
        <w:rPr>
          <w:rFonts w:hint="eastAsia" w:ascii="宋体" w:hAnsi="宋体" w:cs="宋体"/>
          <w:color w:val="auto"/>
          <w:kern w:val="0"/>
        </w:rPr>
        <w:t>3.6.1除投标人须知前附表规定允许外，投标人不得递交备选投标方案，否则其投标将被否决。</w:t>
      </w:r>
    </w:p>
    <w:p>
      <w:pPr>
        <w:snapToGrid w:val="0"/>
        <w:spacing w:line="360" w:lineRule="auto"/>
        <w:rPr>
          <w:rFonts w:hint="eastAsia" w:ascii="宋体" w:hAnsi="宋体" w:cs="宋体"/>
          <w:color w:val="auto"/>
          <w:kern w:val="0"/>
        </w:rPr>
      </w:pPr>
      <w:r>
        <w:rPr>
          <w:rFonts w:hint="eastAsia" w:ascii="宋体" w:hAnsi="宋体" w:cs="宋体"/>
          <w:color w:val="auto"/>
          <w:kern w:val="0"/>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snapToGrid w:val="0"/>
        <w:spacing w:line="360" w:lineRule="auto"/>
        <w:rPr>
          <w:rFonts w:hint="eastAsia" w:ascii="宋体" w:hAnsi="宋体" w:cs="宋体"/>
          <w:color w:val="auto"/>
          <w:kern w:val="0"/>
        </w:rPr>
      </w:pPr>
      <w:r>
        <w:rPr>
          <w:rFonts w:hint="eastAsia" w:ascii="宋体" w:hAnsi="宋体" w:cs="宋体"/>
          <w:color w:val="auto"/>
          <w:kern w:val="0"/>
        </w:rPr>
        <w:t>3.6.3投标人提供两个或两个以上投标报价，或者在投标文件中提供一个报价，但同时提供两个或两个以上供货方案的，视为提供备选方案。</w:t>
      </w:r>
    </w:p>
    <w:p>
      <w:pPr>
        <w:snapToGrid w:val="0"/>
        <w:spacing w:line="360" w:lineRule="auto"/>
        <w:outlineLvl w:val="1"/>
        <w:rPr>
          <w:rFonts w:hint="eastAsia" w:ascii="宋体" w:hAnsi="宋体" w:cs="宋体"/>
          <w:color w:val="auto"/>
          <w:kern w:val="0"/>
        </w:rPr>
      </w:pPr>
      <w:bookmarkStart w:id="71" w:name="_Toc22463"/>
      <w:bookmarkStart w:id="72" w:name="_Toc11577"/>
      <w:r>
        <w:rPr>
          <w:rFonts w:hint="eastAsia" w:ascii="宋体" w:hAnsi="宋体" w:cs="宋体"/>
          <w:color w:val="auto"/>
          <w:kern w:val="0"/>
        </w:rPr>
        <w:t>3.7投标文件的编制</w:t>
      </w:r>
      <w:bookmarkEnd w:id="71"/>
      <w:bookmarkEnd w:id="72"/>
    </w:p>
    <w:p>
      <w:pPr>
        <w:snapToGrid w:val="0"/>
        <w:spacing w:line="360" w:lineRule="auto"/>
        <w:rPr>
          <w:rFonts w:hint="eastAsia" w:ascii="宋体" w:hAnsi="宋体" w:cs="宋体"/>
          <w:color w:val="auto"/>
          <w:kern w:val="0"/>
        </w:rPr>
      </w:pPr>
      <w:r>
        <w:rPr>
          <w:rFonts w:hint="eastAsia" w:ascii="宋体" w:hAnsi="宋体" w:cs="宋体"/>
          <w:color w:val="auto"/>
          <w:kern w:val="0"/>
        </w:rPr>
        <w:t>3.7.1投标文件应按第</w:t>
      </w:r>
      <w:r>
        <w:rPr>
          <w:rFonts w:hint="eastAsia" w:ascii="宋体" w:hAnsi="宋体" w:cs="宋体"/>
          <w:color w:val="auto"/>
          <w:kern w:val="0"/>
          <w:lang w:val="en-US" w:eastAsia="zh-CN"/>
        </w:rPr>
        <w:t>六</w:t>
      </w:r>
      <w:r>
        <w:rPr>
          <w:rFonts w:hint="eastAsia" w:ascii="宋体" w:hAnsi="宋体" w:cs="宋体"/>
          <w:color w:val="auto"/>
          <w:kern w:val="0"/>
        </w:rPr>
        <w:t>章“投标文件格式”进行编写，如有必要，可以增加附页，作为投标文件的组成部分。</w:t>
      </w:r>
    </w:p>
    <w:p>
      <w:pPr>
        <w:snapToGrid w:val="0"/>
        <w:spacing w:line="360" w:lineRule="auto"/>
        <w:rPr>
          <w:rFonts w:hint="eastAsia" w:ascii="宋体" w:hAnsi="宋体" w:cs="宋体"/>
          <w:color w:val="auto"/>
          <w:kern w:val="0"/>
        </w:rPr>
      </w:pPr>
      <w:r>
        <w:rPr>
          <w:rFonts w:hint="eastAsia" w:ascii="宋体" w:hAnsi="宋体" w:cs="宋体"/>
          <w:color w:val="auto"/>
          <w:kern w:val="0"/>
        </w:rPr>
        <w:t>3.7.2投标文件应当对招标文件有关供货期、投标有效期、供货要求、招标范围等实质性内容作出响应。投标文件在满足招标文件实质性要求的基础上，可以提出比招标文件要求更有利于招标人的承诺。</w:t>
      </w:r>
    </w:p>
    <w:p>
      <w:pPr>
        <w:snapToGrid w:val="0"/>
        <w:spacing w:line="360" w:lineRule="auto"/>
        <w:rPr>
          <w:rFonts w:hint="eastAsia" w:ascii="宋体" w:hAnsi="宋体" w:cs="宋体"/>
          <w:color w:val="auto"/>
          <w:kern w:val="0"/>
        </w:rPr>
      </w:pPr>
      <w:r>
        <w:rPr>
          <w:rFonts w:hint="eastAsia" w:ascii="宋体" w:hAnsi="宋体" w:cs="宋体"/>
          <w:color w:val="auto"/>
          <w:kern w:val="0"/>
        </w:rPr>
        <w:t>3.7.3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w:t>
      </w:r>
      <w:r>
        <w:rPr>
          <w:rFonts w:hint="eastAsia" w:ascii="宋体" w:hAnsi="宋体" w:cs="宋体"/>
          <w:color w:val="auto"/>
          <w:kern w:val="0"/>
          <w:lang w:val="en-US" w:eastAsia="zh-CN"/>
        </w:rPr>
        <w:t>六</w:t>
      </w:r>
      <w:r>
        <w:rPr>
          <w:rFonts w:hint="eastAsia" w:ascii="宋体" w:hAnsi="宋体" w:cs="宋体"/>
          <w:color w:val="auto"/>
          <w:kern w:val="0"/>
        </w:rPr>
        <w:t>章“投标文件格式”的要求。投标文件应尽量避免涂改、行间插字或删除。如果出现上述情况，改动之处应由投标人的法定代表人（单位负责人）或其授权的代理人签字或盖单位章。</w:t>
      </w:r>
    </w:p>
    <w:p>
      <w:pPr>
        <w:snapToGrid w:val="0"/>
        <w:spacing w:line="360" w:lineRule="auto"/>
        <w:rPr>
          <w:rFonts w:hint="eastAsia" w:ascii="宋体" w:hAnsi="宋体" w:cs="宋体"/>
          <w:color w:val="auto"/>
          <w:kern w:val="0"/>
        </w:rPr>
      </w:pPr>
      <w:r>
        <w:rPr>
          <w:rFonts w:hint="eastAsia" w:ascii="宋体" w:hAnsi="宋体" w:cs="宋体"/>
          <w:color w:val="auto"/>
          <w:kern w:val="0"/>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napToGrid w:val="0"/>
        <w:spacing w:line="360" w:lineRule="auto"/>
        <w:rPr>
          <w:rFonts w:hint="eastAsia" w:ascii="宋体" w:hAnsi="宋体" w:cs="宋体"/>
          <w:color w:val="auto"/>
          <w:kern w:val="0"/>
        </w:rPr>
      </w:pPr>
      <w:r>
        <w:rPr>
          <w:rFonts w:hint="eastAsia" w:ascii="宋体" w:hAnsi="宋体" w:cs="宋体"/>
          <w:color w:val="auto"/>
          <w:kern w:val="0"/>
        </w:rPr>
        <w:t>（3）投标文件的正本与副本应分别装订，并编制目录，投标文件需分册装订的，具体分册装订要求见投标人须知前附表规定。</w:t>
      </w:r>
    </w:p>
    <w:p>
      <w:pPr>
        <w:pStyle w:val="4"/>
        <w:snapToGrid w:val="0"/>
        <w:spacing w:before="0" w:after="0" w:line="360" w:lineRule="auto"/>
        <w:outlineLvl w:val="0"/>
        <w:rPr>
          <w:rFonts w:hint="eastAsia" w:ascii="宋体" w:hAnsi="宋体" w:cs="宋体"/>
          <w:color w:val="auto"/>
        </w:rPr>
      </w:pPr>
      <w:bookmarkStart w:id="73" w:name="_Toc20354"/>
      <w:bookmarkStart w:id="74" w:name="_Toc27613"/>
      <w:bookmarkStart w:id="75" w:name="_Toc40699923"/>
      <w:bookmarkStart w:id="76" w:name="_Toc47023087"/>
      <w:bookmarkStart w:id="77" w:name="_Toc27305"/>
      <w:bookmarkStart w:id="78" w:name="_Toc16785"/>
      <w:r>
        <w:rPr>
          <w:rFonts w:hint="eastAsia" w:ascii="宋体" w:hAnsi="宋体" w:cs="宋体"/>
          <w:color w:val="auto"/>
        </w:rPr>
        <w:t>4.投标</w:t>
      </w:r>
      <w:bookmarkEnd w:id="73"/>
      <w:bookmarkEnd w:id="74"/>
      <w:bookmarkEnd w:id="75"/>
      <w:bookmarkEnd w:id="76"/>
      <w:bookmarkEnd w:id="77"/>
      <w:bookmarkEnd w:id="78"/>
    </w:p>
    <w:p>
      <w:pPr>
        <w:snapToGrid w:val="0"/>
        <w:spacing w:line="360" w:lineRule="auto"/>
        <w:outlineLvl w:val="1"/>
        <w:rPr>
          <w:rFonts w:hint="eastAsia" w:ascii="宋体" w:hAnsi="宋体" w:cs="宋体"/>
          <w:color w:val="auto"/>
          <w:kern w:val="0"/>
        </w:rPr>
      </w:pPr>
      <w:bookmarkStart w:id="79" w:name="_Toc13130"/>
      <w:bookmarkStart w:id="80" w:name="_Toc6817"/>
      <w:r>
        <w:rPr>
          <w:rFonts w:hint="eastAsia" w:ascii="宋体" w:hAnsi="宋体" w:cs="宋体"/>
          <w:color w:val="auto"/>
          <w:kern w:val="0"/>
        </w:rPr>
        <w:t>4.1投标文件的密封和标记</w:t>
      </w:r>
      <w:bookmarkEnd w:id="79"/>
      <w:bookmarkEnd w:id="80"/>
    </w:p>
    <w:p>
      <w:pPr>
        <w:snapToGrid w:val="0"/>
        <w:spacing w:line="360" w:lineRule="auto"/>
        <w:rPr>
          <w:rFonts w:hint="eastAsia" w:ascii="宋体" w:hAnsi="宋体" w:cs="宋体"/>
          <w:color w:val="auto"/>
          <w:kern w:val="0"/>
        </w:rPr>
      </w:pPr>
      <w:r>
        <w:rPr>
          <w:rFonts w:hint="eastAsia" w:ascii="宋体" w:hAnsi="宋体" w:cs="宋体"/>
          <w:color w:val="auto"/>
          <w:kern w:val="0"/>
        </w:rPr>
        <w:t>4.1.1投标文件应密封包装，并在封套的封口处加盖投标人单位章或由投标人的法定代表人（单位负责人）或其授权的代理人签字。</w:t>
      </w:r>
    </w:p>
    <w:p>
      <w:pPr>
        <w:snapToGrid w:val="0"/>
        <w:spacing w:line="360" w:lineRule="auto"/>
        <w:rPr>
          <w:rFonts w:hint="eastAsia" w:ascii="宋体" w:hAnsi="宋体" w:cs="宋体"/>
          <w:color w:val="auto"/>
          <w:kern w:val="0"/>
        </w:rPr>
      </w:pPr>
      <w:r>
        <w:rPr>
          <w:rFonts w:hint="eastAsia" w:ascii="宋体" w:hAnsi="宋体" w:cs="宋体"/>
          <w:color w:val="auto"/>
          <w:kern w:val="0"/>
        </w:rPr>
        <w:t>4.1.2投标文件封套上应写明的内容见投标人须知前附表。</w:t>
      </w:r>
    </w:p>
    <w:p>
      <w:pPr>
        <w:snapToGrid w:val="0"/>
        <w:spacing w:line="360" w:lineRule="auto"/>
        <w:rPr>
          <w:rFonts w:hint="eastAsia" w:ascii="宋体" w:hAnsi="宋体" w:cs="宋体"/>
          <w:color w:val="auto"/>
          <w:kern w:val="0"/>
        </w:rPr>
      </w:pPr>
      <w:r>
        <w:rPr>
          <w:rFonts w:hint="eastAsia" w:ascii="宋体" w:hAnsi="宋体" w:cs="宋体"/>
          <w:color w:val="auto"/>
          <w:kern w:val="0"/>
        </w:rPr>
        <w:t>4.1.3未按本章第4.1.1项要求密封的投标文件，招标人将予以拒收。</w:t>
      </w:r>
    </w:p>
    <w:p>
      <w:pPr>
        <w:snapToGrid w:val="0"/>
        <w:spacing w:line="360" w:lineRule="auto"/>
        <w:outlineLvl w:val="1"/>
        <w:rPr>
          <w:rFonts w:hint="eastAsia" w:ascii="宋体" w:hAnsi="宋体" w:cs="宋体"/>
          <w:color w:val="auto"/>
          <w:kern w:val="0"/>
        </w:rPr>
      </w:pPr>
      <w:bookmarkStart w:id="81" w:name="_Toc18262"/>
      <w:bookmarkStart w:id="82" w:name="_Toc22461"/>
      <w:r>
        <w:rPr>
          <w:rFonts w:hint="eastAsia" w:ascii="宋体" w:hAnsi="宋体" w:cs="宋体"/>
          <w:color w:val="auto"/>
          <w:kern w:val="0"/>
        </w:rPr>
        <w:t>4.2投标文件的递交</w:t>
      </w:r>
      <w:bookmarkEnd w:id="81"/>
      <w:bookmarkEnd w:id="82"/>
    </w:p>
    <w:p>
      <w:pPr>
        <w:snapToGrid w:val="0"/>
        <w:spacing w:line="360" w:lineRule="auto"/>
        <w:rPr>
          <w:rFonts w:hint="eastAsia" w:ascii="宋体" w:hAnsi="宋体" w:cs="宋体"/>
          <w:color w:val="auto"/>
          <w:kern w:val="0"/>
        </w:rPr>
      </w:pPr>
      <w:r>
        <w:rPr>
          <w:rFonts w:hint="eastAsia" w:ascii="宋体" w:hAnsi="宋体" w:cs="宋体"/>
          <w:color w:val="auto"/>
          <w:kern w:val="0"/>
        </w:rPr>
        <w:t>4.2.1投标人应在投标人须知前附表规定的投标截止时间前递交投标文件。</w:t>
      </w:r>
    </w:p>
    <w:p>
      <w:pPr>
        <w:snapToGrid w:val="0"/>
        <w:spacing w:line="360" w:lineRule="auto"/>
        <w:rPr>
          <w:rFonts w:hint="eastAsia" w:ascii="宋体" w:hAnsi="宋体" w:cs="宋体"/>
          <w:color w:val="auto"/>
          <w:kern w:val="0"/>
        </w:rPr>
      </w:pPr>
      <w:r>
        <w:rPr>
          <w:rFonts w:hint="eastAsia" w:ascii="宋体" w:hAnsi="宋体" w:cs="宋体"/>
          <w:color w:val="auto"/>
          <w:kern w:val="0"/>
        </w:rPr>
        <w:t>4.2.2投标人递交投标文件的地点：见投标人须知前附表。</w:t>
      </w:r>
    </w:p>
    <w:p>
      <w:pPr>
        <w:snapToGrid w:val="0"/>
        <w:spacing w:line="360" w:lineRule="auto"/>
        <w:rPr>
          <w:rFonts w:hint="eastAsia" w:ascii="宋体" w:hAnsi="宋体" w:cs="宋体"/>
          <w:color w:val="auto"/>
          <w:kern w:val="0"/>
        </w:rPr>
      </w:pPr>
      <w:r>
        <w:rPr>
          <w:rFonts w:hint="eastAsia" w:ascii="宋体" w:hAnsi="宋体" w:cs="宋体"/>
          <w:color w:val="auto"/>
          <w:kern w:val="0"/>
        </w:rPr>
        <w:t>4.2.3除投标人须知前附表另有规定外，投标人所递交的投标文件不予退还。</w:t>
      </w:r>
    </w:p>
    <w:p>
      <w:pPr>
        <w:snapToGrid w:val="0"/>
        <w:spacing w:line="360" w:lineRule="auto"/>
        <w:rPr>
          <w:rFonts w:hint="eastAsia" w:ascii="宋体" w:hAnsi="宋体" w:cs="宋体"/>
          <w:color w:val="auto"/>
          <w:kern w:val="0"/>
        </w:rPr>
      </w:pPr>
      <w:r>
        <w:rPr>
          <w:rFonts w:hint="eastAsia" w:ascii="宋体" w:hAnsi="宋体" w:cs="宋体"/>
          <w:color w:val="auto"/>
          <w:kern w:val="0"/>
        </w:rPr>
        <w:t>4.2.4逾期送达的投标文件，招标人将予以拒收</w:t>
      </w:r>
    </w:p>
    <w:p>
      <w:pPr>
        <w:snapToGrid w:val="0"/>
        <w:spacing w:line="360" w:lineRule="auto"/>
        <w:outlineLvl w:val="1"/>
        <w:rPr>
          <w:rFonts w:hint="eastAsia" w:ascii="宋体" w:hAnsi="宋体" w:cs="宋体"/>
          <w:color w:val="auto"/>
          <w:kern w:val="0"/>
        </w:rPr>
      </w:pPr>
      <w:bookmarkStart w:id="83" w:name="_Toc10255"/>
      <w:bookmarkStart w:id="84" w:name="_Toc27382"/>
      <w:r>
        <w:rPr>
          <w:rFonts w:hint="eastAsia" w:ascii="宋体" w:hAnsi="宋体" w:cs="宋体"/>
          <w:color w:val="auto"/>
          <w:kern w:val="0"/>
        </w:rPr>
        <w:t>4.3投标文件的修改与撤回</w:t>
      </w:r>
      <w:bookmarkEnd w:id="83"/>
      <w:bookmarkEnd w:id="84"/>
    </w:p>
    <w:p>
      <w:pPr>
        <w:snapToGrid w:val="0"/>
        <w:spacing w:line="360" w:lineRule="auto"/>
        <w:rPr>
          <w:rFonts w:hint="eastAsia" w:ascii="宋体" w:hAnsi="宋体" w:cs="宋体"/>
          <w:color w:val="auto"/>
          <w:kern w:val="0"/>
        </w:rPr>
      </w:pPr>
      <w:r>
        <w:rPr>
          <w:rFonts w:hint="eastAsia" w:ascii="宋体" w:hAnsi="宋体" w:cs="宋体"/>
          <w:color w:val="auto"/>
          <w:kern w:val="0"/>
        </w:rPr>
        <w:t>4.3.1在本章第4.2.1项规定的投标截止时间前，投标人可以修改或撤回已递交的投标文件，但应以书面形式通知招标人。</w:t>
      </w:r>
    </w:p>
    <w:p>
      <w:pPr>
        <w:snapToGrid w:val="0"/>
        <w:spacing w:line="360" w:lineRule="auto"/>
        <w:rPr>
          <w:rFonts w:hint="eastAsia" w:ascii="宋体" w:hAnsi="宋体" w:cs="宋体"/>
          <w:color w:val="auto"/>
          <w:kern w:val="0"/>
        </w:rPr>
      </w:pPr>
      <w:r>
        <w:rPr>
          <w:rFonts w:hint="eastAsia" w:ascii="宋体" w:hAnsi="宋体" w:cs="宋体"/>
          <w:color w:val="auto"/>
          <w:kern w:val="0"/>
        </w:rPr>
        <w:t>4.3.2投标人修改或撤回已递交投标文件的书面通知应按照本章第 3.7.3项的要求签字或盖章。招标人收到书面通知后，向投标人出具签收凭证。</w:t>
      </w:r>
    </w:p>
    <w:p>
      <w:pPr>
        <w:snapToGrid w:val="0"/>
        <w:spacing w:line="360" w:lineRule="auto"/>
        <w:rPr>
          <w:rFonts w:hint="eastAsia" w:ascii="宋体" w:hAnsi="宋体" w:cs="宋体"/>
          <w:color w:val="auto"/>
          <w:kern w:val="0"/>
        </w:rPr>
      </w:pPr>
      <w:r>
        <w:rPr>
          <w:rFonts w:hint="eastAsia" w:ascii="宋体" w:hAnsi="宋体" w:cs="宋体"/>
          <w:color w:val="auto"/>
          <w:kern w:val="0"/>
        </w:rPr>
        <w:t>4.3.3投标人撤回投标文件的，招标人自收到投标人书面撤回通知之日起5日内退还已收取的投标保证金。</w:t>
      </w:r>
    </w:p>
    <w:p>
      <w:pPr>
        <w:snapToGrid w:val="0"/>
        <w:spacing w:line="360" w:lineRule="auto"/>
        <w:rPr>
          <w:rFonts w:hint="eastAsia" w:ascii="宋体" w:hAnsi="宋体" w:cs="宋体"/>
          <w:color w:val="auto"/>
          <w:kern w:val="0"/>
        </w:rPr>
      </w:pPr>
      <w:r>
        <w:rPr>
          <w:rFonts w:hint="eastAsia" w:ascii="宋体" w:hAnsi="宋体" w:cs="宋体"/>
          <w:color w:val="auto"/>
          <w:kern w:val="0"/>
        </w:rPr>
        <w:t>4.3.4修改的内容为投标文件的组成部分。修改的投标文件应按照本章第3条、</w:t>
      </w:r>
      <w:r>
        <w:rPr>
          <w:rFonts w:hint="eastAsia" w:ascii="宋体" w:hAnsi="宋体" w:cs="宋体"/>
          <w:color w:val="auto"/>
          <w:kern w:val="0"/>
          <w:highlight w:val="none"/>
        </w:rPr>
        <w:t>第4条的规定</w:t>
      </w:r>
      <w:r>
        <w:rPr>
          <w:rFonts w:hint="eastAsia" w:ascii="宋体" w:hAnsi="宋体" w:cs="宋体"/>
          <w:color w:val="auto"/>
          <w:kern w:val="0"/>
        </w:rPr>
        <w:t>进行编制、密封、标记和递交，并标明“修改”字样。</w:t>
      </w:r>
    </w:p>
    <w:p>
      <w:pPr>
        <w:pStyle w:val="4"/>
        <w:snapToGrid w:val="0"/>
        <w:spacing w:before="0" w:after="0" w:line="360" w:lineRule="auto"/>
        <w:outlineLvl w:val="0"/>
        <w:rPr>
          <w:rFonts w:hint="eastAsia" w:ascii="宋体" w:hAnsi="宋体" w:cs="宋体"/>
          <w:color w:val="auto"/>
        </w:rPr>
      </w:pPr>
      <w:bookmarkStart w:id="85" w:name="_Toc47023088"/>
      <w:bookmarkStart w:id="86" w:name="_Toc13413"/>
      <w:bookmarkStart w:id="87" w:name="_Toc5124"/>
      <w:bookmarkStart w:id="88" w:name="_Toc20106"/>
      <w:bookmarkStart w:id="89" w:name="_Toc27838"/>
      <w:bookmarkStart w:id="90" w:name="_Toc40699924"/>
      <w:r>
        <w:rPr>
          <w:rFonts w:hint="eastAsia" w:ascii="宋体" w:hAnsi="宋体" w:cs="宋体"/>
          <w:color w:val="auto"/>
        </w:rPr>
        <w:t>5.开标</w:t>
      </w:r>
      <w:bookmarkEnd w:id="85"/>
      <w:bookmarkEnd w:id="86"/>
      <w:bookmarkEnd w:id="87"/>
      <w:bookmarkEnd w:id="88"/>
      <w:bookmarkEnd w:id="89"/>
      <w:bookmarkEnd w:id="90"/>
    </w:p>
    <w:p>
      <w:pPr>
        <w:snapToGrid w:val="0"/>
        <w:spacing w:line="360" w:lineRule="auto"/>
        <w:outlineLvl w:val="1"/>
        <w:rPr>
          <w:rFonts w:hint="eastAsia" w:ascii="宋体" w:hAnsi="宋体" w:cs="宋体"/>
          <w:color w:val="auto"/>
          <w:kern w:val="0"/>
        </w:rPr>
      </w:pPr>
      <w:bookmarkStart w:id="91" w:name="_Toc14232"/>
      <w:bookmarkStart w:id="92" w:name="_Toc5479"/>
      <w:r>
        <w:rPr>
          <w:rFonts w:hint="eastAsia" w:ascii="宋体" w:hAnsi="宋体" w:cs="宋体"/>
          <w:color w:val="auto"/>
          <w:kern w:val="0"/>
        </w:rPr>
        <w:t>5.1开标时间和地点</w:t>
      </w:r>
      <w:bookmarkEnd w:id="91"/>
      <w:bookmarkEnd w:id="92"/>
    </w:p>
    <w:p>
      <w:pPr>
        <w:snapToGrid w:val="0"/>
        <w:spacing w:line="360" w:lineRule="auto"/>
        <w:rPr>
          <w:rFonts w:hint="eastAsia" w:ascii="宋体" w:hAnsi="宋体" w:cs="宋体"/>
          <w:color w:val="auto"/>
          <w:kern w:val="0"/>
        </w:rPr>
      </w:pPr>
      <w:r>
        <w:rPr>
          <w:rFonts w:hint="eastAsia" w:ascii="宋体" w:hAnsi="宋体" w:cs="宋体"/>
          <w:color w:val="auto"/>
          <w:kern w:val="0"/>
        </w:rPr>
        <w:t>招标人在本章第4.2.1项规定的投标截止时间（开标时间）和投标人须知前附表规定的地点公开开标，并邀请所有投标人的法定代表人（单位负责人）或其委托代理人准时参加。</w:t>
      </w:r>
    </w:p>
    <w:p>
      <w:pPr>
        <w:snapToGrid w:val="0"/>
        <w:spacing w:line="360" w:lineRule="auto"/>
        <w:outlineLvl w:val="1"/>
        <w:rPr>
          <w:rFonts w:hint="eastAsia" w:ascii="宋体" w:hAnsi="宋体" w:cs="宋体"/>
          <w:color w:val="auto"/>
          <w:kern w:val="0"/>
        </w:rPr>
      </w:pPr>
      <w:bookmarkStart w:id="93" w:name="_Toc23539"/>
      <w:bookmarkStart w:id="94" w:name="_Toc5428"/>
      <w:r>
        <w:rPr>
          <w:rFonts w:hint="eastAsia" w:ascii="宋体" w:hAnsi="宋体" w:cs="宋体"/>
          <w:color w:val="auto"/>
          <w:kern w:val="0"/>
        </w:rPr>
        <w:t>5.2开标程序</w:t>
      </w:r>
      <w:bookmarkEnd w:id="93"/>
      <w:bookmarkEnd w:id="94"/>
    </w:p>
    <w:p>
      <w:pPr>
        <w:snapToGrid w:val="0"/>
        <w:spacing w:line="360" w:lineRule="auto"/>
        <w:rPr>
          <w:rFonts w:hint="eastAsia" w:ascii="宋体" w:hAnsi="宋体" w:cs="宋体"/>
          <w:color w:val="auto"/>
          <w:kern w:val="0"/>
        </w:rPr>
      </w:pPr>
      <w:r>
        <w:rPr>
          <w:rFonts w:hint="eastAsia" w:ascii="宋体" w:hAnsi="宋体" w:cs="宋体"/>
          <w:color w:val="auto"/>
          <w:kern w:val="0"/>
        </w:rPr>
        <w:t>主持人按下列程序进行开标：</w:t>
      </w:r>
    </w:p>
    <w:p>
      <w:pPr>
        <w:snapToGrid w:val="0"/>
        <w:spacing w:line="360" w:lineRule="auto"/>
        <w:rPr>
          <w:rFonts w:hint="eastAsia" w:ascii="宋体" w:hAnsi="宋体" w:cs="宋体"/>
          <w:color w:val="auto"/>
          <w:kern w:val="0"/>
        </w:rPr>
      </w:pPr>
      <w:r>
        <w:rPr>
          <w:rFonts w:hint="eastAsia" w:ascii="宋体" w:hAnsi="宋体" w:cs="宋体"/>
          <w:color w:val="auto"/>
          <w:kern w:val="0"/>
        </w:rPr>
        <w:t>（1）宣布开标纪律；</w:t>
      </w:r>
    </w:p>
    <w:p>
      <w:pPr>
        <w:snapToGrid w:val="0"/>
        <w:spacing w:line="360" w:lineRule="auto"/>
        <w:rPr>
          <w:rFonts w:hint="eastAsia" w:ascii="宋体" w:hAnsi="宋体" w:cs="宋体"/>
          <w:color w:val="auto"/>
          <w:kern w:val="0"/>
        </w:rPr>
      </w:pPr>
      <w:r>
        <w:rPr>
          <w:rFonts w:hint="eastAsia" w:ascii="宋体" w:hAnsi="宋体" w:cs="宋体"/>
          <w:color w:val="auto"/>
          <w:kern w:val="0"/>
        </w:rPr>
        <w:t>（2）公布在投标截止时间前递交投标文件的投标人名称；</w:t>
      </w:r>
    </w:p>
    <w:p>
      <w:pPr>
        <w:snapToGrid w:val="0"/>
        <w:spacing w:line="360" w:lineRule="auto"/>
        <w:rPr>
          <w:rFonts w:hint="eastAsia" w:ascii="宋体" w:hAnsi="宋体" w:cs="宋体"/>
          <w:color w:val="auto"/>
          <w:kern w:val="0"/>
        </w:rPr>
      </w:pPr>
      <w:r>
        <w:rPr>
          <w:rFonts w:hint="eastAsia" w:ascii="宋体" w:hAnsi="宋体" w:cs="宋体"/>
          <w:color w:val="auto"/>
          <w:kern w:val="0"/>
        </w:rPr>
        <w:t>（3）宣布开标人、唱标人、记录人、监标人等有关人员姓名；</w:t>
      </w:r>
    </w:p>
    <w:p>
      <w:pPr>
        <w:snapToGrid w:val="0"/>
        <w:spacing w:line="360" w:lineRule="auto"/>
        <w:rPr>
          <w:rFonts w:hint="eastAsia" w:ascii="宋体" w:hAnsi="宋体" w:cs="宋体"/>
          <w:color w:val="auto"/>
          <w:kern w:val="0"/>
        </w:rPr>
      </w:pPr>
      <w:r>
        <w:rPr>
          <w:rFonts w:hint="eastAsia" w:ascii="宋体" w:hAnsi="宋体" w:cs="宋体"/>
          <w:color w:val="auto"/>
          <w:kern w:val="0"/>
        </w:rPr>
        <w:t>（4）检查投标文件的密封情况，按照投标人须知前附表规定的开标顺序当众开标，公布招标项目名称、投标人名称、投标报价、交货期、交货地点及其他内容，并记录在案；</w:t>
      </w:r>
    </w:p>
    <w:p>
      <w:pPr>
        <w:snapToGrid w:val="0"/>
        <w:spacing w:line="360" w:lineRule="auto"/>
        <w:rPr>
          <w:rFonts w:hint="eastAsia" w:ascii="宋体" w:hAnsi="宋体" w:cs="宋体"/>
          <w:color w:val="auto"/>
          <w:kern w:val="0"/>
        </w:rPr>
      </w:pPr>
      <w:r>
        <w:rPr>
          <w:rFonts w:hint="eastAsia" w:ascii="宋体" w:hAnsi="宋体" w:cs="宋体"/>
          <w:color w:val="auto"/>
          <w:kern w:val="0"/>
        </w:rPr>
        <w:t>（5）投标人代表、招标人代表、监标人、记录人等有关人员在开标记录上签字确认；</w:t>
      </w:r>
    </w:p>
    <w:p>
      <w:pPr>
        <w:snapToGrid w:val="0"/>
        <w:spacing w:line="360" w:lineRule="auto"/>
        <w:rPr>
          <w:rFonts w:hint="eastAsia" w:ascii="宋体" w:hAnsi="宋体" w:cs="宋体"/>
          <w:color w:val="auto"/>
          <w:kern w:val="0"/>
        </w:rPr>
      </w:pPr>
      <w:r>
        <w:rPr>
          <w:rFonts w:hint="eastAsia" w:ascii="宋体" w:hAnsi="宋体" w:cs="宋体"/>
          <w:color w:val="auto"/>
          <w:kern w:val="0"/>
        </w:rPr>
        <w:t>（6）开标结束。</w:t>
      </w:r>
    </w:p>
    <w:p>
      <w:pPr>
        <w:snapToGrid w:val="0"/>
        <w:spacing w:line="360" w:lineRule="auto"/>
        <w:outlineLvl w:val="1"/>
        <w:rPr>
          <w:rFonts w:hint="eastAsia" w:ascii="宋体" w:hAnsi="宋体" w:cs="宋体"/>
          <w:color w:val="auto"/>
          <w:kern w:val="0"/>
        </w:rPr>
      </w:pPr>
      <w:bookmarkStart w:id="95" w:name="_Toc12620"/>
      <w:bookmarkStart w:id="96" w:name="_Toc23818"/>
      <w:r>
        <w:rPr>
          <w:rFonts w:hint="eastAsia" w:ascii="宋体" w:hAnsi="宋体" w:cs="宋体"/>
          <w:color w:val="auto"/>
          <w:kern w:val="0"/>
        </w:rPr>
        <w:t>5.3开标异议</w:t>
      </w:r>
      <w:bookmarkEnd w:id="95"/>
      <w:bookmarkEnd w:id="96"/>
    </w:p>
    <w:p>
      <w:pPr>
        <w:snapToGrid w:val="0"/>
        <w:spacing w:line="360" w:lineRule="auto"/>
        <w:rPr>
          <w:rFonts w:hint="eastAsia" w:ascii="宋体" w:hAnsi="宋体" w:cs="宋体"/>
          <w:color w:val="auto"/>
          <w:kern w:val="0"/>
        </w:rPr>
      </w:pPr>
      <w:r>
        <w:rPr>
          <w:rFonts w:hint="eastAsia" w:ascii="宋体" w:hAnsi="宋体" w:cs="宋体"/>
          <w:color w:val="auto"/>
          <w:kern w:val="0"/>
        </w:rPr>
        <w:t>投标人对开标有异议的，应当在开标现场提出，招标人当场</w:t>
      </w:r>
      <w:r>
        <w:rPr>
          <w:rFonts w:hint="eastAsia" w:ascii="宋体" w:hAnsi="宋体" w:cs="宋体"/>
          <w:color w:val="auto"/>
          <w:kern w:val="0"/>
          <w:highlight w:val="none"/>
          <w:lang w:eastAsia="zh-CN"/>
        </w:rPr>
        <w:t>做出答复</w:t>
      </w:r>
      <w:r>
        <w:rPr>
          <w:rFonts w:hint="eastAsia" w:ascii="宋体" w:hAnsi="宋体" w:cs="宋体"/>
          <w:color w:val="auto"/>
          <w:kern w:val="0"/>
        </w:rPr>
        <w:t>，并制作记录。</w:t>
      </w:r>
    </w:p>
    <w:p>
      <w:pPr>
        <w:pStyle w:val="4"/>
        <w:snapToGrid w:val="0"/>
        <w:spacing w:before="0" w:after="0" w:line="360" w:lineRule="auto"/>
        <w:outlineLvl w:val="0"/>
        <w:rPr>
          <w:rFonts w:hint="eastAsia" w:ascii="宋体" w:hAnsi="宋体" w:cs="宋体"/>
          <w:color w:val="auto"/>
        </w:rPr>
      </w:pPr>
      <w:bookmarkStart w:id="97" w:name="_Toc20036"/>
      <w:bookmarkStart w:id="98" w:name="_Toc23290"/>
      <w:bookmarkStart w:id="99" w:name="_Toc47023089"/>
      <w:bookmarkStart w:id="100" w:name="_Toc40699925"/>
      <w:bookmarkStart w:id="101" w:name="_Toc8833"/>
      <w:bookmarkStart w:id="102" w:name="_Toc16597"/>
      <w:r>
        <w:rPr>
          <w:rFonts w:hint="eastAsia" w:ascii="宋体" w:hAnsi="宋体" w:cs="宋体"/>
          <w:color w:val="auto"/>
        </w:rPr>
        <w:t>6.评标</w:t>
      </w:r>
      <w:bookmarkEnd w:id="97"/>
      <w:bookmarkEnd w:id="98"/>
      <w:bookmarkEnd w:id="99"/>
      <w:bookmarkEnd w:id="100"/>
      <w:bookmarkEnd w:id="101"/>
      <w:bookmarkEnd w:id="102"/>
    </w:p>
    <w:p>
      <w:pPr>
        <w:snapToGrid w:val="0"/>
        <w:spacing w:line="360" w:lineRule="auto"/>
        <w:rPr>
          <w:rFonts w:hint="eastAsia" w:ascii="宋体" w:hAnsi="宋体" w:cs="宋体"/>
          <w:color w:val="auto"/>
          <w:kern w:val="0"/>
        </w:rPr>
      </w:pPr>
      <w:bookmarkStart w:id="103" w:name="_Toc25377"/>
      <w:bookmarkStart w:id="104" w:name="_Toc19955"/>
      <w:r>
        <w:rPr>
          <w:rFonts w:hint="eastAsia" w:ascii="宋体" w:hAnsi="宋体" w:cs="宋体"/>
          <w:color w:val="auto"/>
          <w:kern w:val="0"/>
        </w:rPr>
        <w:t>6.1评标委员会</w:t>
      </w:r>
      <w:bookmarkEnd w:id="103"/>
      <w:bookmarkEnd w:id="104"/>
    </w:p>
    <w:p>
      <w:pPr>
        <w:snapToGrid w:val="0"/>
        <w:spacing w:line="360" w:lineRule="auto"/>
        <w:rPr>
          <w:rFonts w:hint="eastAsia" w:ascii="宋体" w:hAnsi="宋体" w:cs="宋体"/>
          <w:color w:val="auto"/>
          <w:kern w:val="0"/>
        </w:rPr>
      </w:pPr>
      <w:r>
        <w:rPr>
          <w:rFonts w:hint="eastAsia" w:ascii="宋体" w:hAnsi="宋体" w:cs="宋体"/>
          <w:color w:val="auto"/>
          <w:kern w:val="0"/>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napToGrid w:val="0"/>
        <w:spacing w:line="360" w:lineRule="auto"/>
        <w:rPr>
          <w:rFonts w:hint="eastAsia" w:ascii="宋体" w:hAnsi="宋体" w:cs="宋体"/>
          <w:color w:val="auto"/>
          <w:kern w:val="0"/>
        </w:rPr>
      </w:pPr>
      <w:r>
        <w:rPr>
          <w:rFonts w:hint="eastAsia" w:ascii="宋体" w:hAnsi="宋体" w:cs="宋体"/>
          <w:color w:val="auto"/>
          <w:kern w:val="0"/>
        </w:rPr>
        <w:t>6.1.2评标委员会成员有下列情形之一的，应当回避：</w:t>
      </w:r>
    </w:p>
    <w:p>
      <w:pPr>
        <w:snapToGrid w:val="0"/>
        <w:spacing w:line="360" w:lineRule="auto"/>
        <w:rPr>
          <w:rFonts w:hint="eastAsia" w:ascii="宋体" w:hAnsi="宋体" w:cs="宋体"/>
          <w:color w:val="auto"/>
          <w:kern w:val="0"/>
        </w:rPr>
      </w:pPr>
      <w:r>
        <w:rPr>
          <w:rFonts w:hint="eastAsia" w:ascii="宋体" w:hAnsi="宋体" w:cs="宋体"/>
          <w:color w:val="auto"/>
          <w:kern w:val="0"/>
        </w:rPr>
        <w:t>（1）投标人或投标人主要负责人的近亲属；</w:t>
      </w:r>
    </w:p>
    <w:p>
      <w:pPr>
        <w:snapToGrid w:val="0"/>
        <w:spacing w:line="360" w:lineRule="auto"/>
        <w:rPr>
          <w:rFonts w:hint="eastAsia" w:ascii="宋体" w:hAnsi="宋体" w:cs="宋体"/>
          <w:color w:val="auto"/>
          <w:kern w:val="0"/>
        </w:rPr>
      </w:pPr>
      <w:r>
        <w:rPr>
          <w:rFonts w:hint="eastAsia" w:ascii="宋体" w:hAnsi="宋体" w:cs="宋体"/>
          <w:color w:val="auto"/>
          <w:kern w:val="0"/>
        </w:rPr>
        <w:t>（2）项目主管部门或者行政监督部门的人员；</w:t>
      </w:r>
    </w:p>
    <w:p>
      <w:pPr>
        <w:snapToGrid w:val="0"/>
        <w:spacing w:line="360" w:lineRule="auto"/>
        <w:rPr>
          <w:rFonts w:hint="eastAsia" w:ascii="宋体" w:hAnsi="宋体" w:cs="宋体"/>
          <w:color w:val="auto"/>
          <w:kern w:val="0"/>
        </w:rPr>
      </w:pPr>
      <w:r>
        <w:rPr>
          <w:rFonts w:hint="eastAsia" w:ascii="宋体" w:hAnsi="宋体" w:cs="宋体"/>
          <w:color w:val="auto"/>
          <w:kern w:val="0"/>
        </w:rPr>
        <w:t>（3）与投标人有经济利益关系，可能影响对投标公正评审的；</w:t>
      </w:r>
    </w:p>
    <w:p>
      <w:pPr>
        <w:snapToGrid w:val="0"/>
        <w:spacing w:line="360" w:lineRule="auto"/>
        <w:rPr>
          <w:rFonts w:hint="eastAsia" w:ascii="宋体" w:hAnsi="宋体" w:cs="宋体"/>
          <w:color w:val="auto"/>
          <w:kern w:val="0"/>
        </w:rPr>
      </w:pPr>
      <w:r>
        <w:rPr>
          <w:rFonts w:hint="eastAsia" w:ascii="宋体" w:hAnsi="宋体" w:cs="宋体"/>
          <w:color w:val="auto"/>
          <w:kern w:val="0"/>
        </w:rPr>
        <w:t>（4）曾因在招标、评标以及其他与招标投标有关活动中从事违法行为而受过行政处罚或刑事处罚的；</w:t>
      </w:r>
    </w:p>
    <w:p>
      <w:pPr>
        <w:snapToGrid w:val="0"/>
        <w:spacing w:line="360" w:lineRule="auto"/>
        <w:rPr>
          <w:rFonts w:hint="eastAsia" w:ascii="宋体" w:hAnsi="宋体" w:cs="宋体"/>
          <w:color w:val="auto"/>
          <w:kern w:val="0"/>
        </w:rPr>
      </w:pPr>
      <w:r>
        <w:rPr>
          <w:rFonts w:hint="eastAsia" w:ascii="宋体" w:hAnsi="宋体" w:cs="宋体"/>
          <w:color w:val="auto"/>
          <w:kern w:val="0"/>
        </w:rPr>
        <w:t>（5）与投标人有其他利害关系。</w:t>
      </w:r>
    </w:p>
    <w:p>
      <w:pPr>
        <w:snapToGrid w:val="0"/>
        <w:spacing w:line="360" w:lineRule="auto"/>
        <w:rPr>
          <w:rFonts w:hint="eastAsia" w:ascii="宋体" w:hAnsi="宋体" w:cs="宋体"/>
          <w:color w:val="auto"/>
          <w:kern w:val="0"/>
        </w:rPr>
      </w:pPr>
      <w:r>
        <w:rPr>
          <w:rFonts w:hint="eastAsia" w:ascii="宋体" w:hAnsi="宋体" w:cs="宋体"/>
          <w:color w:val="auto"/>
          <w:kern w:val="0"/>
        </w:rPr>
        <w:t>6.1.3评标过程中，评标委员会成员有回避事由、擅离职守或者因健康等原因不能继续评标的，招标人有权更换。被更换的评标委员会成员作出的评审结论无效，由更换后的评标委员会成员重新进行评审。</w:t>
      </w:r>
    </w:p>
    <w:p>
      <w:pPr>
        <w:snapToGrid w:val="0"/>
        <w:spacing w:line="360" w:lineRule="auto"/>
        <w:rPr>
          <w:rFonts w:hint="eastAsia" w:ascii="宋体" w:hAnsi="宋体" w:cs="宋体"/>
          <w:color w:val="auto"/>
          <w:kern w:val="0"/>
        </w:rPr>
      </w:pPr>
      <w:bookmarkStart w:id="105" w:name="_Toc7533"/>
      <w:bookmarkStart w:id="106" w:name="_Toc30310"/>
      <w:r>
        <w:rPr>
          <w:rFonts w:hint="eastAsia" w:ascii="宋体" w:hAnsi="宋体" w:cs="宋体"/>
          <w:color w:val="auto"/>
          <w:kern w:val="0"/>
        </w:rPr>
        <w:t>6.2评标原则</w:t>
      </w:r>
      <w:bookmarkEnd w:id="105"/>
      <w:bookmarkEnd w:id="106"/>
    </w:p>
    <w:p>
      <w:pPr>
        <w:snapToGrid w:val="0"/>
        <w:spacing w:line="360" w:lineRule="auto"/>
        <w:rPr>
          <w:rFonts w:hint="eastAsia"/>
          <w:color w:val="auto"/>
        </w:rPr>
      </w:pPr>
      <w:r>
        <w:rPr>
          <w:rFonts w:hint="eastAsia" w:ascii="宋体" w:hAnsi="宋体" w:cs="宋体"/>
          <w:color w:val="auto"/>
          <w:kern w:val="0"/>
        </w:rPr>
        <w:t>评标活动遵循公平、公正、科学和择优的原则。</w:t>
      </w:r>
    </w:p>
    <w:p>
      <w:pPr>
        <w:snapToGrid w:val="0"/>
        <w:spacing w:line="360" w:lineRule="auto"/>
        <w:rPr>
          <w:rFonts w:hint="eastAsia" w:ascii="宋体" w:hAnsi="宋体" w:cs="宋体"/>
          <w:color w:val="auto"/>
          <w:kern w:val="0"/>
        </w:rPr>
      </w:pPr>
      <w:bookmarkStart w:id="107" w:name="_Toc3196"/>
      <w:bookmarkStart w:id="108" w:name="_Toc25757"/>
      <w:r>
        <w:rPr>
          <w:rFonts w:hint="eastAsia" w:ascii="宋体" w:hAnsi="宋体" w:cs="宋体"/>
          <w:color w:val="auto"/>
          <w:kern w:val="0"/>
        </w:rPr>
        <w:t>6.3评标</w:t>
      </w:r>
      <w:bookmarkEnd w:id="107"/>
      <w:bookmarkEnd w:id="108"/>
    </w:p>
    <w:p>
      <w:pPr>
        <w:snapToGrid w:val="0"/>
        <w:spacing w:line="360" w:lineRule="auto"/>
        <w:rPr>
          <w:rFonts w:hint="eastAsia" w:ascii="宋体" w:hAnsi="宋体" w:cs="宋体"/>
          <w:color w:val="auto"/>
          <w:kern w:val="0"/>
        </w:rPr>
      </w:pPr>
      <w:r>
        <w:rPr>
          <w:rFonts w:hint="eastAsia" w:ascii="宋体" w:hAnsi="宋体" w:cs="宋体"/>
          <w:color w:val="auto"/>
          <w:kern w:val="0"/>
        </w:rPr>
        <w:t>6.3.1评标委员会按照第二章“评标办法”规定的方法、评审因素、标准和程序对投标文件进行评审。第二章“评标办法”没有规定的方法、评审因素和标准，不作为评标依据。</w:t>
      </w:r>
    </w:p>
    <w:p>
      <w:pPr>
        <w:snapToGrid w:val="0"/>
        <w:spacing w:line="360" w:lineRule="auto"/>
        <w:rPr>
          <w:rFonts w:hint="eastAsia" w:ascii="宋体" w:hAnsi="宋体" w:cs="宋体"/>
          <w:color w:val="auto"/>
          <w:kern w:val="0"/>
        </w:rPr>
      </w:pPr>
      <w:r>
        <w:rPr>
          <w:rFonts w:hint="eastAsia" w:ascii="宋体" w:hAnsi="宋体" w:cs="宋体"/>
          <w:color w:val="auto"/>
          <w:kern w:val="0"/>
        </w:rPr>
        <w:t>6.3.2评标完成后，评标委员会应当向招标人提交书面评标报告和中标候选人名单。评标委员会推荐中标候选人的人数见投标人须知前附表。</w:t>
      </w:r>
    </w:p>
    <w:p>
      <w:pPr>
        <w:snapToGrid w:val="0"/>
        <w:spacing w:line="360" w:lineRule="auto"/>
        <w:ind w:firstLine="422"/>
        <w:rPr>
          <w:rFonts w:hint="eastAsia" w:ascii="宋体" w:hAnsi="宋体" w:cs="宋体"/>
          <w:b/>
          <w:bCs/>
          <w:color w:val="auto"/>
          <w:szCs w:val="21"/>
          <w:highlight w:val="white"/>
        </w:rPr>
      </w:pPr>
      <w:r>
        <w:rPr>
          <w:rFonts w:hint="eastAsia" w:ascii="宋体" w:hAnsi="宋体" w:cs="宋体"/>
          <w:b/>
          <w:bCs/>
          <w:color w:val="auto"/>
          <w:kern w:val="0"/>
          <w:szCs w:val="21"/>
        </w:rPr>
        <w:t>6.3.3</w:t>
      </w:r>
      <w:r>
        <w:rPr>
          <w:rFonts w:hint="eastAsia" w:ascii="宋体" w:hAnsi="宋体" w:cs="宋体"/>
          <w:b/>
          <w:bCs/>
          <w:color w:val="auto"/>
          <w:szCs w:val="21"/>
          <w:highlight w:val="white"/>
        </w:rPr>
        <w:t>无效标、废标、串通投标认定条款</w:t>
      </w:r>
    </w:p>
    <w:p>
      <w:pPr>
        <w:spacing w:line="500" w:lineRule="exact"/>
        <w:ind w:firstLine="422"/>
        <w:rPr>
          <w:rFonts w:hint="eastAsia" w:ascii="宋体" w:hAnsi="宋体" w:cs="宋体"/>
          <w:b/>
          <w:color w:val="auto"/>
          <w:szCs w:val="21"/>
        </w:rPr>
      </w:pPr>
      <w:r>
        <w:rPr>
          <w:rFonts w:hint="eastAsia" w:ascii="宋体" w:hAnsi="宋体" w:cs="宋体"/>
          <w:b/>
          <w:color w:val="auto"/>
          <w:szCs w:val="21"/>
          <w:highlight w:val="white"/>
        </w:rPr>
        <w:t>6.3.3.1无效投标条款</w:t>
      </w:r>
    </w:p>
    <w:p>
      <w:pPr>
        <w:numPr>
          <w:ilvl w:val="0"/>
          <w:numId w:val="2"/>
        </w:numPr>
        <w:spacing w:line="500" w:lineRule="exact"/>
        <w:rPr>
          <w:rFonts w:hint="eastAsia" w:ascii="宋体" w:hAnsi="宋体" w:cs="宋体"/>
          <w:color w:val="auto"/>
          <w:szCs w:val="21"/>
          <w:highlight w:val="white"/>
        </w:rPr>
      </w:pPr>
      <w:r>
        <w:rPr>
          <w:rFonts w:hint="eastAsia" w:ascii="宋体" w:hAnsi="宋体" w:cs="宋体"/>
          <w:color w:val="auto"/>
          <w:szCs w:val="21"/>
          <w:highlight w:val="white"/>
        </w:rPr>
        <w:t>投标人不符合招标文件规定资格要求的或未按规定提交资质证件的；</w:t>
      </w:r>
    </w:p>
    <w:p>
      <w:pPr>
        <w:numPr>
          <w:ilvl w:val="0"/>
          <w:numId w:val="2"/>
        </w:numPr>
        <w:spacing w:line="500" w:lineRule="exact"/>
        <w:rPr>
          <w:rFonts w:hint="eastAsia" w:ascii="宋体" w:hAnsi="宋体" w:cs="宋体"/>
          <w:color w:val="auto"/>
          <w:szCs w:val="21"/>
        </w:rPr>
      </w:pPr>
      <w:r>
        <w:rPr>
          <w:rFonts w:hint="eastAsia" w:ascii="宋体" w:hAnsi="宋体" w:cs="宋体"/>
          <w:color w:val="auto"/>
          <w:szCs w:val="21"/>
          <w:highlight w:val="white"/>
        </w:rPr>
        <w:t>投标人在规定的时间未按要求提交投标保证金的</w:t>
      </w:r>
      <w:r>
        <w:rPr>
          <w:rFonts w:hint="eastAsia" w:ascii="宋体" w:hAnsi="宋体" w:cs="宋体"/>
          <w:color w:val="auto"/>
          <w:szCs w:val="21"/>
          <w:highlight w:val="white"/>
          <w:lang w:eastAsia="zh-CN"/>
        </w:rPr>
        <w:t>（如有）</w:t>
      </w:r>
      <w:r>
        <w:rPr>
          <w:rFonts w:hint="eastAsia" w:ascii="宋体" w:hAnsi="宋体" w:cs="宋体"/>
          <w:color w:val="auto"/>
          <w:szCs w:val="21"/>
          <w:highlight w:val="white"/>
        </w:rPr>
        <w:t>；</w:t>
      </w:r>
    </w:p>
    <w:p>
      <w:pPr>
        <w:numPr>
          <w:ilvl w:val="0"/>
          <w:numId w:val="2"/>
        </w:numPr>
        <w:spacing w:line="500" w:lineRule="exact"/>
        <w:rPr>
          <w:rFonts w:hint="eastAsia" w:ascii="宋体" w:hAnsi="宋体" w:cs="宋体"/>
          <w:color w:val="auto"/>
          <w:szCs w:val="21"/>
        </w:rPr>
      </w:pPr>
      <w:r>
        <w:rPr>
          <w:rFonts w:hint="eastAsia" w:ascii="宋体" w:hAnsi="宋体" w:cs="宋体"/>
          <w:color w:val="auto"/>
          <w:szCs w:val="21"/>
          <w:highlight w:val="white"/>
        </w:rPr>
        <w:t>投标文件签署、盖章不符合招标文件要求的；投标文件中的投标函未加盖投标人的印章及法定代表人签章的；或者在投标截止时间前未提供合法、有效的法定代表人法人资格证明及其居民身份证或其授权委托代理人的法人授权委托书及其居民身份证的；</w:t>
      </w:r>
    </w:p>
    <w:p>
      <w:pPr>
        <w:numPr>
          <w:ilvl w:val="0"/>
          <w:numId w:val="2"/>
        </w:numPr>
        <w:spacing w:line="500" w:lineRule="exact"/>
        <w:rPr>
          <w:rFonts w:hint="eastAsia" w:ascii="宋体" w:hAnsi="宋体" w:cs="宋体"/>
          <w:color w:val="auto"/>
          <w:szCs w:val="21"/>
        </w:rPr>
      </w:pPr>
      <w:r>
        <w:rPr>
          <w:rFonts w:hint="eastAsia" w:ascii="宋体" w:hAnsi="宋体" w:cs="宋体"/>
          <w:color w:val="auto"/>
          <w:szCs w:val="21"/>
          <w:highlight w:val="white"/>
        </w:rPr>
        <w:t>未按招标文件要求提供投标文件；</w:t>
      </w:r>
    </w:p>
    <w:p>
      <w:pPr>
        <w:numPr>
          <w:ilvl w:val="0"/>
          <w:numId w:val="2"/>
        </w:numPr>
        <w:spacing w:line="500" w:lineRule="exact"/>
        <w:rPr>
          <w:rFonts w:hint="eastAsia" w:ascii="宋体" w:hAnsi="宋体" w:cs="宋体"/>
          <w:color w:val="auto"/>
          <w:szCs w:val="21"/>
        </w:rPr>
      </w:pPr>
      <w:r>
        <w:rPr>
          <w:rFonts w:hint="eastAsia" w:ascii="宋体" w:hAnsi="宋体" w:cs="宋体"/>
          <w:color w:val="auto"/>
          <w:szCs w:val="21"/>
          <w:highlight w:val="white"/>
        </w:rPr>
        <w:t>投标文件出现重大偏差，未对招标文件进行实质性响应的；</w:t>
      </w:r>
    </w:p>
    <w:p>
      <w:pPr>
        <w:numPr>
          <w:ilvl w:val="0"/>
          <w:numId w:val="2"/>
        </w:numPr>
        <w:spacing w:line="500" w:lineRule="exact"/>
        <w:rPr>
          <w:rFonts w:hint="eastAsia" w:ascii="宋体" w:hAnsi="宋体" w:cs="宋体"/>
          <w:color w:val="auto"/>
          <w:szCs w:val="21"/>
        </w:rPr>
      </w:pPr>
      <w:r>
        <w:rPr>
          <w:rFonts w:hint="eastAsia" w:ascii="宋体" w:hAnsi="宋体" w:cs="宋体"/>
          <w:color w:val="auto"/>
          <w:szCs w:val="21"/>
          <w:highlight w:val="white"/>
        </w:rPr>
        <w:t>投标人有本招标文件规定的恶意串通投标情形的；</w:t>
      </w:r>
    </w:p>
    <w:p>
      <w:pPr>
        <w:numPr>
          <w:ilvl w:val="0"/>
          <w:numId w:val="2"/>
        </w:numPr>
        <w:spacing w:line="500" w:lineRule="exact"/>
        <w:rPr>
          <w:rFonts w:hint="eastAsia" w:ascii="宋体" w:hAnsi="宋体" w:cs="宋体"/>
          <w:color w:val="auto"/>
          <w:szCs w:val="21"/>
        </w:rPr>
      </w:pPr>
      <w:r>
        <w:rPr>
          <w:rFonts w:hint="eastAsia" w:ascii="宋体" w:hAnsi="宋体" w:cs="宋体"/>
          <w:color w:val="auto"/>
          <w:szCs w:val="21"/>
          <w:highlight w:val="none"/>
          <w:lang w:eastAsia="zh-CN"/>
        </w:rPr>
        <w:t>法定代表人</w:t>
      </w:r>
      <w:r>
        <w:rPr>
          <w:rFonts w:hint="eastAsia" w:ascii="宋体" w:hAnsi="宋体" w:cs="宋体"/>
          <w:color w:val="auto"/>
          <w:szCs w:val="21"/>
          <w:highlight w:val="white"/>
        </w:rPr>
        <w:t>（或被授权人）不参加开标会议及质询事宜的；</w:t>
      </w:r>
    </w:p>
    <w:p>
      <w:pPr>
        <w:numPr>
          <w:ilvl w:val="0"/>
          <w:numId w:val="2"/>
        </w:numPr>
        <w:spacing w:line="500" w:lineRule="exact"/>
        <w:rPr>
          <w:rFonts w:hint="eastAsia" w:ascii="宋体" w:hAnsi="宋体" w:cs="宋体"/>
          <w:color w:val="auto"/>
          <w:szCs w:val="21"/>
        </w:rPr>
      </w:pPr>
      <w:r>
        <w:rPr>
          <w:rFonts w:hint="eastAsia" w:ascii="宋体" w:hAnsi="宋体" w:cs="宋体"/>
          <w:color w:val="auto"/>
          <w:szCs w:val="21"/>
          <w:highlight w:val="none"/>
          <w:lang w:eastAsia="zh-CN"/>
        </w:rPr>
        <w:t>其他</w:t>
      </w:r>
      <w:r>
        <w:rPr>
          <w:rFonts w:hint="eastAsia" w:ascii="宋体" w:hAnsi="宋体" w:cs="宋体"/>
          <w:color w:val="auto"/>
          <w:szCs w:val="21"/>
          <w:highlight w:val="white"/>
        </w:rPr>
        <w:t>评标委员会认为有必要取消的投标；</w:t>
      </w:r>
    </w:p>
    <w:p>
      <w:pPr>
        <w:numPr>
          <w:ilvl w:val="0"/>
          <w:numId w:val="2"/>
        </w:numPr>
        <w:spacing w:line="500" w:lineRule="exact"/>
        <w:rPr>
          <w:rFonts w:hint="eastAsia" w:ascii="宋体" w:hAnsi="宋体" w:cs="宋体"/>
          <w:color w:val="auto"/>
          <w:szCs w:val="21"/>
        </w:rPr>
      </w:pPr>
      <w:r>
        <w:rPr>
          <w:rFonts w:hint="eastAsia" w:ascii="宋体" w:hAnsi="宋体" w:cs="宋体"/>
          <w:color w:val="auto"/>
          <w:szCs w:val="21"/>
          <w:highlight w:val="white"/>
        </w:rPr>
        <w:t>法律、法规规定的其它情况。</w:t>
      </w:r>
    </w:p>
    <w:p>
      <w:pPr>
        <w:spacing w:line="500" w:lineRule="exact"/>
        <w:ind w:firstLine="422"/>
        <w:rPr>
          <w:rFonts w:hint="eastAsia" w:ascii="宋体" w:hAnsi="宋体" w:cs="宋体"/>
          <w:b/>
          <w:color w:val="auto"/>
          <w:szCs w:val="21"/>
        </w:rPr>
      </w:pPr>
      <w:r>
        <w:rPr>
          <w:rFonts w:hint="eastAsia" w:ascii="宋体" w:hAnsi="宋体" w:cs="宋体"/>
          <w:b/>
          <w:color w:val="auto"/>
          <w:szCs w:val="21"/>
          <w:highlight w:val="white"/>
        </w:rPr>
        <w:t>6.3.3.2废标条款</w:t>
      </w:r>
    </w:p>
    <w:p>
      <w:pPr>
        <w:numPr>
          <w:ilvl w:val="0"/>
          <w:numId w:val="3"/>
        </w:numPr>
        <w:snapToGrid w:val="0"/>
        <w:spacing w:line="500" w:lineRule="exact"/>
        <w:rPr>
          <w:rFonts w:hint="eastAsia" w:ascii="宋体" w:hAnsi="宋体" w:cs="宋体"/>
          <w:color w:val="auto"/>
          <w:szCs w:val="21"/>
          <w:highlight w:val="white"/>
        </w:rPr>
      </w:pPr>
      <w:r>
        <w:rPr>
          <w:rFonts w:hint="eastAsia" w:ascii="宋体" w:hAnsi="宋体" w:cs="宋体"/>
          <w:color w:val="auto"/>
          <w:szCs w:val="21"/>
          <w:highlight w:val="white"/>
        </w:rPr>
        <w:t>符合专业条件的供应商或者对招标文件作实质响应的供应商不足三家的；</w:t>
      </w:r>
    </w:p>
    <w:p>
      <w:pPr>
        <w:numPr>
          <w:ilvl w:val="0"/>
          <w:numId w:val="3"/>
        </w:numPr>
        <w:snapToGrid w:val="0"/>
        <w:spacing w:line="500" w:lineRule="exact"/>
        <w:rPr>
          <w:rFonts w:hint="eastAsia" w:ascii="宋体" w:hAnsi="宋体" w:cs="宋体"/>
          <w:color w:val="auto"/>
          <w:szCs w:val="21"/>
        </w:rPr>
      </w:pPr>
      <w:r>
        <w:rPr>
          <w:rFonts w:hint="eastAsia" w:ascii="宋体" w:hAnsi="宋体" w:cs="宋体"/>
          <w:color w:val="auto"/>
          <w:szCs w:val="21"/>
          <w:highlight w:val="white"/>
        </w:rPr>
        <w:t>出现影响采购公正的违法、违规行为的；</w:t>
      </w:r>
    </w:p>
    <w:p>
      <w:pPr>
        <w:numPr>
          <w:ilvl w:val="0"/>
          <w:numId w:val="3"/>
        </w:numPr>
        <w:snapToGrid w:val="0"/>
        <w:spacing w:line="500" w:lineRule="exact"/>
        <w:rPr>
          <w:rFonts w:hint="eastAsia" w:ascii="宋体" w:hAnsi="宋体" w:cs="宋体"/>
          <w:color w:val="auto"/>
          <w:szCs w:val="21"/>
        </w:rPr>
      </w:pPr>
      <w:r>
        <w:rPr>
          <w:rFonts w:hint="eastAsia" w:ascii="宋体" w:hAnsi="宋体" w:cs="宋体"/>
          <w:color w:val="auto"/>
          <w:szCs w:val="21"/>
          <w:highlight w:val="white"/>
        </w:rPr>
        <w:t>投标人的报价均超过了采购预算，且采购人不能支付的；</w:t>
      </w:r>
    </w:p>
    <w:p>
      <w:pPr>
        <w:numPr>
          <w:ilvl w:val="0"/>
          <w:numId w:val="3"/>
        </w:numPr>
        <w:snapToGrid w:val="0"/>
        <w:spacing w:line="500" w:lineRule="exact"/>
        <w:rPr>
          <w:rFonts w:hint="eastAsia" w:ascii="宋体" w:hAnsi="宋体" w:cs="宋体"/>
          <w:color w:val="auto"/>
          <w:szCs w:val="21"/>
        </w:rPr>
      </w:pPr>
      <w:r>
        <w:rPr>
          <w:rFonts w:hint="eastAsia" w:ascii="宋体" w:hAnsi="宋体" w:cs="宋体"/>
          <w:color w:val="auto"/>
          <w:szCs w:val="21"/>
          <w:highlight w:val="white"/>
        </w:rPr>
        <w:t>因重大变故，采购任务取消的。</w:t>
      </w:r>
    </w:p>
    <w:p>
      <w:pPr>
        <w:spacing w:line="500" w:lineRule="exact"/>
        <w:ind w:firstLine="422"/>
        <w:rPr>
          <w:rFonts w:hint="eastAsia" w:ascii="宋体" w:hAnsi="宋体" w:cs="宋体"/>
          <w:b/>
          <w:color w:val="auto"/>
          <w:szCs w:val="21"/>
        </w:rPr>
      </w:pPr>
      <w:r>
        <w:rPr>
          <w:rFonts w:hint="eastAsia" w:ascii="宋体" w:hAnsi="宋体" w:cs="宋体"/>
          <w:b/>
          <w:color w:val="auto"/>
          <w:szCs w:val="21"/>
          <w:highlight w:val="white"/>
        </w:rPr>
        <w:t>6.3.3.3取消中标候选人资格条款</w:t>
      </w:r>
    </w:p>
    <w:p>
      <w:pPr>
        <w:numPr>
          <w:ilvl w:val="0"/>
          <w:numId w:val="4"/>
        </w:numPr>
        <w:snapToGrid w:val="0"/>
        <w:spacing w:line="500" w:lineRule="exact"/>
        <w:rPr>
          <w:rFonts w:hint="eastAsia" w:ascii="宋体" w:hAnsi="宋体" w:cs="宋体"/>
          <w:color w:val="auto"/>
          <w:szCs w:val="21"/>
          <w:highlight w:val="white"/>
        </w:rPr>
      </w:pPr>
      <w:r>
        <w:rPr>
          <w:rFonts w:hint="eastAsia" w:ascii="宋体" w:hAnsi="宋体" w:cs="宋体"/>
          <w:color w:val="auto"/>
          <w:szCs w:val="21"/>
          <w:highlight w:val="white"/>
        </w:rPr>
        <w:t>提供虚假材料谋取中标的；</w:t>
      </w:r>
    </w:p>
    <w:p>
      <w:pPr>
        <w:numPr>
          <w:ilvl w:val="0"/>
          <w:numId w:val="4"/>
        </w:numPr>
        <w:snapToGrid w:val="0"/>
        <w:spacing w:line="500" w:lineRule="exact"/>
        <w:rPr>
          <w:rFonts w:hint="eastAsia" w:ascii="宋体" w:hAnsi="宋体" w:cs="宋体"/>
          <w:color w:val="auto"/>
          <w:szCs w:val="21"/>
        </w:rPr>
      </w:pPr>
      <w:r>
        <w:rPr>
          <w:rFonts w:hint="eastAsia" w:ascii="宋体" w:hAnsi="宋体" w:cs="宋体"/>
          <w:color w:val="auto"/>
          <w:szCs w:val="21"/>
          <w:highlight w:val="white"/>
        </w:rPr>
        <w:t>采取不正当手段诋毁、排挤其他投标人的；</w:t>
      </w:r>
    </w:p>
    <w:p>
      <w:pPr>
        <w:numPr>
          <w:ilvl w:val="0"/>
          <w:numId w:val="4"/>
        </w:numPr>
        <w:snapToGrid w:val="0"/>
        <w:spacing w:line="500" w:lineRule="exact"/>
        <w:rPr>
          <w:rFonts w:hint="eastAsia" w:ascii="宋体" w:hAnsi="宋体" w:cs="宋体"/>
          <w:color w:val="auto"/>
          <w:szCs w:val="21"/>
        </w:rPr>
      </w:pPr>
      <w:r>
        <w:rPr>
          <w:rFonts w:hint="eastAsia" w:ascii="宋体" w:hAnsi="宋体" w:cs="宋体"/>
          <w:color w:val="auto"/>
          <w:szCs w:val="21"/>
          <w:highlight w:val="white"/>
        </w:rPr>
        <w:t>与采购人、其他投标人或者采购代理机构恶意串通的；</w:t>
      </w:r>
    </w:p>
    <w:p>
      <w:pPr>
        <w:numPr>
          <w:ilvl w:val="0"/>
          <w:numId w:val="4"/>
        </w:numPr>
        <w:snapToGrid w:val="0"/>
        <w:spacing w:line="500" w:lineRule="exact"/>
        <w:rPr>
          <w:rFonts w:hint="eastAsia" w:ascii="宋体" w:hAnsi="宋体" w:cs="宋体"/>
          <w:color w:val="auto"/>
          <w:szCs w:val="21"/>
        </w:rPr>
      </w:pPr>
      <w:r>
        <w:rPr>
          <w:rFonts w:hint="eastAsia" w:ascii="宋体" w:hAnsi="宋体" w:cs="宋体"/>
          <w:color w:val="auto"/>
          <w:szCs w:val="21"/>
          <w:highlight w:val="white"/>
        </w:rPr>
        <w:t>向采购人、采购代理机构行贿或者提供其他不正当利益的；</w:t>
      </w:r>
    </w:p>
    <w:p>
      <w:pPr>
        <w:numPr>
          <w:ilvl w:val="0"/>
          <w:numId w:val="4"/>
        </w:numPr>
        <w:snapToGrid w:val="0"/>
        <w:spacing w:line="500" w:lineRule="exact"/>
        <w:rPr>
          <w:rFonts w:hint="eastAsia" w:ascii="宋体" w:hAnsi="宋体" w:cs="宋体"/>
          <w:color w:val="auto"/>
          <w:szCs w:val="21"/>
        </w:rPr>
      </w:pPr>
      <w:r>
        <w:rPr>
          <w:rFonts w:hint="eastAsia" w:ascii="宋体" w:hAnsi="宋体" w:cs="宋体"/>
          <w:color w:val="auto"/>
          <w:szCs w:val="21"/>
          <w:highlight w:val="white"/>
        </w:rPr>
        <w:t>未在规定时间内与采购人签订采购合同的；</w:t>
      </w:r>
    </w:p>
    <w:p>
      <w:pPr>
        <w:numPr>
          <w:ilvl w:val="0"/>
          <w:numId w:val="4"/>
        </w:numPr>
        <w:snapToGrid w:val="0"/>
        <w:spacing w:line="500" w:lineRule="exact"/>
        <w:rPr>
          <w:rFonts w:hint="eastAsia" w:ascii="宋体" w:hAnsi="宋体" w:cs="宋体"/>
          <w:color w:val="auto"/>
          <w:szCs w:val="21"/>
        </w:rPr>
      </w:pPr>
      <w:r>
        <w:rPr>
          <w:rFonts w:hint="eastAsia" w:ascii="宋体" w:hAnsi="宋体" w:cs="宋体"/>
          <w:color w:val="auto"/>
          <w:szCs w:val="21"/>
          <w:highlight w:val="white"/>
        </w:rPr>
        <w:t>法律、法规规定的其它情况。</w:t>
      </w:r>
    </w:p>
    <w:p>
      <w:pPr>
        <w:spacing w:line="500" w:lineRule="exact"/>
        <w:ind w:firstLine="422"/>
        <w:rPr>
          <w:rFonts w:hint="eastAsia" w:ascii="宋体" w:hAnsi="宋体" w:cs="宋体"/>
          <w:b/>
          <w:color w:val="auto"/>
          <w:szCs w:val="21"/>
        </w:rPr>
      </w:pPr>
      <w:r>
        <w:rPr>
          <w:rFonts w:hint="eastAsia" w:ascii="宋体" w:hAnsi="宋体" w:cs="宋体"/>
          <w:b/>
          <w:color w:val="auto"/>
          <w:szCs w:val="21"/>
          <w:highlight w:val="white"/>
        </w:rPr>
        <w:t>6.3.3.4恶意串通投标的情形</w:t>
      </w:r>
    </w:p>
    <w:p>
      <w:pPr>
        <w:snapToGrid w:val="0"/>
        <w:spacing w:line="500" w:lineRule="exact"/>
        <w:rPr>
          <w:rFonts w:hint="eastAsia" w:ascii="宋体" w:hAnsi="宋体" w:cs="宋体"/>
          <w:color w:val="auto"/>
          <w:szCs w:val="21"/>
        </w:rPr>
      </w:pPr>
      <w:r>
        <w:rPr>
          <w:rFonts w:hint="eastAsia" w:ascii="宋体" w:hAnsi="宋体" w:cs="宋体"/>
          <w:color w:val="auto"/>
          <w:szCs w:val="21"/>
          <w:highlight w:val="white"/>
        </w:rPr>
        <w:t>（1）供应商直接或间接从采购人或采购代理机构处获得其他供应商的投标情况，并修改其投标文件；</w:t>
      </w:r>
    </w:p>
    <w:p>
      <w:pPr>
        <w:snapToGrid w:val="0"/>
        <w:spacing w:line="500" w:lineRule="exact"/>
        <w:rPr>
          <w:rFonts w:hint="eastAsia" w:ascii="宋体" w:hAnsi="宋体" w:cs="宋体"/>
          <w:color w:val="auto"/>
          <w:szCs w:val="21"/>
        </w:rPr>
      </w:pPr>
      <w:r>
        <w:rPr>
          <w:rFonts w:hint="eastAsia" w:ascii="宋体" w:hAnsi="宋体" w:cs="宋体"/>
          <w:color w:val="auto"/>
          <w:szCs w:val="21"/>
          <w:highlight w:val="white"/>
        </w:rPr>
        <w:t>（2）评审活动开始前供应商直接或间接从采购人或采购代理机构处获得评标委员会组成人员情况；</w:t>
      </w:r>
    </w:p>
    <w:p>
      <w:pPr>
        <w:snapToGrid w:val="0"/>
        <w:spacing w:line="500" w:lineRule="exact"/>
        <w:rPr>
          <w:rFonts w:hint="eastAsia" w:ascii="宋体" w:hAnsi="宋体" w:cs="宋体"/>
          <w:color w:val="auto"/>
          <w:szCs w:val="21"/>
        </w:rPr>
      </w:pPr>
      <w:r>
        <w:rPr>
          <w:rFonts w:hint="eastAsia" w:ascii="宋体" w:hAnsi="宋体" w:cs="宋体"/>
          <w:color w:val="auto"/>
          <w:szCs w:val="21"/>
          <w:highlight w:val="white"/>
        </w:rPr>
        <w:t>（3）供应商接受采购人或采购代理机构授意撤换、修改投标文件；</w:t>
      </w:r>
    </w:p>
    <w:p>
      <w:pPr>
        <w:snapToGrid w:val="0"/>
        <w:spacing w:line="500" w:lineRule="exact"/>
        <w:rPr>
          <w:rFonts w:hint="eastAsia" w:ascii="宋体" w:hAnsi="宋体" w:cs="宋体"/>
          <w:color w:val="auto"/>
          <w:szCs w:val="21"/>
        </w:rPr>
      </w:pPr>
      <w:r>
        <w:rPr>
          <w:rFonts w:hint="eastAsia" w:ascii="宋体" w:hAnsi="宋体" w:cs="宋体"/>
          <w:color w:val="auto"/>
          <w:szCs w:val="21"/>
          <w:highlight w:val="white"/>
        </w:rPr>
        <w:t>（4）供应商之间协商投标报价、技术方案等投标文件实质性内容；</w:t>
      </w:r>
    </w:p>
    <w:p>
      <w:pPr>
        <w:snapToGrid w:val="0"/>
        <w:spacing w:line="500" w:lineRule="exact"/>
        <w:rPr>
          <w:rFonts w:hint="eastAsia" w:ascii="宋体" w:hAnsi="宋体" w:cs="宋体"/>
          <w:color w:val="auto"/>
          <w:szCs w:val="21"/>
        </w:rPr>
      </w:pPr>
      <w:r>
        <w:rPr>
          <w:rFonts w:hint="eastAsia" w:ascii="宋体" w:hAnsi="宋体" w:cs="宋体"/>
          <w:color w:val="auto"/>
          <w:szCs w:val="21"/>
          <w:highlight w:val="white"/>
        </w:rPr>
        <w:t>（5）属于同一集团、协会、商会等组织成员的供应商按照该组织要求协同投标；</w:t>
      </w:r>
    </w:p>
    <w:p>
      <w:pPr>
        <w:snapToGrid w:val="0"/>
        <w:spacing w:line="500" w:lineRule="exact"/>
        <w:rPr>
          <w:rFonts w:hint="eastAsia" w:ascii="宋体" w:hAnsi="宋体" w:cs="宋体"/>
          <w:color w:val="auto"/>
          <w:szCs w:val="21"/>
        </w:rPr>
      </w:pPr>
      <w:r>
        <w:rPr>
          <w:rFonts w:hint="eastAsia" w:ascii="宋体" w:hAnsi="宋体" w:cs="宋体"/>
          <w:color w:val="auto"/>
          <w:szCs w:val="21"/>
          <w:highlight w:val="white"/>
        </w:rPr>
        <w:t>（6）供应商之间事先约定由某一特定供应商中标、成交；</w:t>
      </w:r>
    </w:p>
    <w:p>
      <w:pPr>
        <w:snapToGrid w:val="0"/>
        <w:spacing w:line="500" w:lineRule="exact"/>
        <w:rPr>
          <w:rFonts w:hint="eastAsia" w:ascii="宋体" w:hAnsi="宋体" w:cs="宋体"/>
          <w:color w:val="auto"/>
          <w:szCs w:val="21"/>
        </w:rPr>
      </w:pPr>
      <w:r>
        <w:rPr>
          <w:rFonts w:hint="eastAsia" w:ascii="宋体" w:hAnsi="宋体" w:cs="宋体"/>
          <w:color w:val="auto"/>
          <w:szCs w:val="21"/>
          <w:highlight w:val="white"/>
        </w:rPr>
        <w:t>（7）供应商之间商定部分供应商放弃投标或者放弃中标、成交；</w:t>
      </w:r>
    </w:p>
    <w:p>
      <w:pPr>
        <w:snapToGrid w:val="0"/>
        <w:spacing w:line="500" w:lineRule="exact"/>
        <w:rPr>
          <w:rFonts w:hint="eastAsia" w:ascii="宋体" w:hAnsi="宋体" w:cs="宋体"/>
          <w:color w:val="auto"/>
          <w:szCs w:val="21"/>
        </w:rPr>
      </w:pPr>
      <w:r>
        <w:rPr>
          <w:rFonts w:hint="eastAsia" w:ascii="宋体" w:hAnsi="宋体" w:cs="宋体"/>
          <w:color w:val="auto"/>
          <w:szCs w:val="21"/>
          <w:highlight w:val="white"/>
        </w:rPr>
        <w:t>（8）供应商与采购人或采购代理机构之间、供应商相互之间为谋求特定供应商中标成交或者排斥其他供应商的其他串通行为；</w:t>
      </w:r>
    </w:p>
    <w:p>
      <w:pPr>
        <w:snapToGrid w:val="0"/>
        <w:spacing w:line="500" w:lineRule="exact"/>
        <w:rPr>
          <w:rFonts w:hint="eastAsia" w:ascii="宋体" w:hAnsi="宋体" w:cs="宋体"/>
          <w:color w:val="auto"/>
          <w:szCs w:val="21"/>
        </w:rPr>
      </w:pPr>
      <w:r>
        <w:rPr>
          <w:rFonts w:hint="eastAsia" w:ascii="宋体" w:hAnsi="宋体" w:cs="宋体"/>
          <w:color w:val="auto"/>
          <w:szCs w:val="21"/>
          <w:highlight w:val="white"/>
        </w:rPr>
        <w:t>（9）不同投标人的投标文件由同一单位或者个人编制；</w:t>
      </w:r>
    </w:p>
    <w:p>
      <w:pPr>
        <w:snapToGrid w:val="0"/>
        <w:spacing w:line="500" w:lineRule="exact"/>
        <w:rPr>
          <w:rFonts w:hint="eastAsia" w:ascii="宋体" w:hAnsi="宋体" w:cs="宋体"/>
          <w:color w:val="auto"/>
          <w:szCs w:val="21"/>
        </w:rPr>
      </w:pPr>
      <w:r>
        <w:rPr>
          <w:rFonts w:hint="eastAsia" w:ascii="宋体" w:hAnsi="宋体" w:cs="宋体"/>
          <w:color w:val="auto"/>
          <w:szCs w:val="21"/>
          <w:highlight w:val="white"/>
        </w:rPr>
        <w:t>（10）不同投标人委托同一单位或者个人办理投标事宜；</w:t>
      </w:r>
    </w:p>
    <w:p>
      <w:pPr>
        <w:snapToGrid w:val="0"/>
        <w:spacing w:line="500" w:lineRule="exact"/>
        <w:rPr>
          <w:rFonts w:hint="eastAsia" w:ascii="宋体" w:hAnsi="宋体" w:cs="宋体"/>
          <w:color w:val="auto"/>
          <w:szCs w:val="21"/>
        </w:rPr>
      </w:pPr>
      <w:r>
        <w:rPr>
          <w:rFonts w:hint="eastAsia" w:ascii="宋体" w:hAnsi="宋体" w:cs="宋体"/>
          <w:color w:val="auto"/>
          <w:szCs w:val="21"/>
          <w:highlight w:val="white"/>
        </w:rPr>
        <w:t>（11）不同投标人的投标文件载明的项目管理成员为同一人；</w:t>
      </w:r>
    </w:p>
    <w:p>
      <w:pPr>
        <w:snapToGrid w:val="0"/>
        <w:spacing w:line="500" w:lineRule="exact"/>
        <w:rPr>
          <w:rFonts w:hint="eastAsia" w:ascii="宋体" w:hAnsi="宋体" w:cs="宋体"/>
          <w:color w:val="auto"/>
          <w:szCs w:val="21"/>
        </w:rPr>
      </w:pPr>
      <w:r>
        <w:rPr>
          <w:rFonts w:hint="eastAsia" w:ascii="宋体" w:hAnsi="宋体" w:cs="宋体"/>
          <w:color w:val="auto"/>
          <w:szCs w:val="21"/>
          <w:highlight w:val="white"/>
        </w:rPr>
        <w:t>（12）不同投标人的投标文件异常一致或者投标报价呈规律性差异；</w:t>
      </w:r>
    </w:p>
    <w:p>
      <w:pPr>
        <w:snapToGrid w:val="0"/>
        <w:spacing w:line="500" w:lineRule="exact"/>
        <w:rPr>
          <w:rFonts w:hint="eastAsia" w:ascii="宋体" w:hAnsi="宋体" w:cs="宋体"/>
          <w:color w:val="auto"/>
          <w:szCs w:val="21"/>
        </w:rPr>
      </w:pPr>
      <w:r>
        <w:rPr>
          <w:rFonts w:hint="eastAsia" w:ascii="宋体" w:hAnsi="宋体" w:cs="宋体"/>
          <w:color w:val="auto"/>
          <w:szCs w:val="21"/>
          <w:highlight w:val="white"/>
        </w:rPr>
        <w:t>（13）不同投标人的投标文件相互混装；</w:t>
      </w:r>
    </w:p>
    <w:p>
      <w:pPr>
        <w:snapToGrid w:val="0"/>
        <w:spacing w:line="500" w:lineRule="exact"/>
        <w:rPr>
          <w:b/>
          <w:bCs/>
          <w:color w:val="auto"/>
          <w:highlight w:val="white"/>
        </w:rPr>
      </w:pPr>
      <w:r>
        <w:rPr>
          <w:rFonts w:hint="eastAsia" w:ascii="宋体" w:hAnsi="宋体" w:cs="宋体"/>
          <w:color w:val="auto"/>
          <w:szCs w:val="21"/>
          <w:highlight w:val="white"/>
        </w:rPr>
        <w:t>（14）不同投标人的投标保证金从同一单位或者个人的账户转出。</w:t>
      </w:r>
    </w:p>
    <w:p>
      <w:pPr>
        <w:pStyle w:val="2"/>
        <w:rPr>
          <w:color w:val="auto"/>
        </w:rPr>
      </w:pPr>
    </w:p>
    <w:p>
      <w:pPr>
        <w:pStyle w:val="4"/>
        <w:snapToGrid w:val="0"/>
        <w:spacing w:before="0" w:after="0" w:line="360" w:lineRule="auto"/>
        <w:outlineLvl w:val="0"/>
        <w:rPr>
          <w:rFonts w:hint="eastAsia" w:ascii="宋体" w:hAnsi="宋体" w:cs="宋体"/>
          <w:color w:val="auto"/>
        </w:rPr>
      </w:pPr>
      <w:bookmarkStart w:id="109" w:name="_Toc25285"/>
      <w:bookmarkStart w:id="110" w:name="_Toc3492"/>
      <w:bookmarkStart w:id="111" w:name="_Toc13674"/>
      <w:bookmarkStart w:id="112" w:name="_Toc27539"/>
      <w:bookmarkStart w:id="113" w:name="_Toc47023090"/>
      <w:bookmarkStart w:id="114" w:name="_Toc40699926"/>
      <w:r>
        <w:rPr>
          <w:rFonts w:hint="eastAsia" w:ascii="宋体" w:hAnsi="宋体" w:cs="宋体"/>
          <w:color w:val="auto"/>
        </w:rPr>
        <w:t>7.合同授予</w:t>
      </w:r>
      <w:bookmarkEnd w:id="109"/>
      <w:bookmarkEnd w:id="110"/>
      <w:bookmarkEnd w:id="111"/>
      <w:bookmarkEnd w:id="112"/>
      <w:bookmarkEnd w:id="113"/>
      <w:bookmarkEnd w:id="114"/>
    </w:p>
    <w:p>
      <w:pPr>
        <w:snapToGrid w:val="0"/>
        <w:spacing w:line="360" w:lineRule="auto"/>
        <w:outlineLvl w:val="1"/>
        <w:rPr>
          <w:rFonts w:hint="eastAsia" w:ascii="宋体" w:hAnsi="宋体" w:cs="宋体"/>
          <w:color w:val="auto"/>
          <w:kern w:val="0"/>
        </w:rPr>
      </w:pPr>
      <w:bookmarkStart w:id="115" w:name="_Toc17614"/>
      <w:bookmarkStart w:id="116" w:name="_Toc443"/>
      <w:r>
        <w:rPr>
          <w:rFonts w:hint="eastAsia" w:ascii="宋体" w:hAnsi="宋体" w:cs="宋体"/>
          <w:color w:val="auto"/>
          <w:kern w:val="0"/>
        </w:rPr>
        <w:t>7.1中标候选人公示</w:t>
      </w:r>
      <w:bookmarkEnd w:id="115"/>
      <w:bookmarkEnd w:id="116"/>
    </w:p>
    <w:p>
      <w:pPr>
        <w:snapToGrid w:val="0"/>
        <w:spacing w:line="360" w:lineRule="auto"/>
        <w:rPr>
          <w:rFonts w:hint="eastAsia" w:ascii="宋体" w:hAnsi="宋体" w:cs="宋体"/>
          <w:color w:val="auto"/>
          <w:kern w:val="0"/>
        </w:rPr>
      </w:pPr>
      <w:r>
        <w:rPr>
          <w:rFonts w:hint="eastAsia" w:ascii="宋体" w:hAnsi="宋体" w:cs="宋体"/>
          <w:color w:val="auto"/>
          <w:kern w:val="0"/>
        </w:rPr>
        <w:t>招标人在收到评标报告之日起 3 日内，按照投标人须知前附表规定的公示媒介和期限公示中标候选人，公示期不得少于 3 天。</w:t>
      </w:r>
    </w:p>
    <w:p>
      <w:pPr>
        <w:snapToGrid w:val="0"/>
        <w:spacing w:line="360" w:lineRule="auto"/>
        <w:outlineLvl w:val="1"/>
        <w:rPr>
          <w:rFonts w:hint="eastAsia" w:ascii="宋体" w:hAnsi="宋体" w:cs="宋体"/>
          <w:color w:val="auto"/>
          <w:kern w:val="0"/>
        </w:rPr>
      </w:pPr>
      <w:bookmarkStart w:id="117" w:name="_Toc1530"/>
      <w:bookmarkStart w:id="118" w:name="_Toc23256"/>
      <w:r>
        <w:rPr>
          <w:rFonts w:hint="eastAsia" w:ascii="宋体" w:hAnsi="宋体" w:cs="宋体"/>
          <w:color w:val="auto"/>
          <w:kern w:val="0"/>
        </w:rPr>
        <w:t>7.2评标结果异议</w:t>
      </w:r>
      <w:bookmarkEnd w:id="117"/>
      <w:bookmarkEnd w:id="118"/>
    </w:p>
    <w:p>
      <w:pPr>
        <w:snapToGrid w:val="0"/>
        <w:spacing w:line="360" w:lineRule="auto"/>
        <w:rPr>
          <w:rFonts w:hint="eastAsia" w:ascii="宋体" w:hAnsi="宋体" w:cs="宋体"/>
          <w:color w:val="auto"/>
          <w:kern w:val="0"/>
        </w:rPr>
      </w:pPr>
      <w:r>
        <w:rPr>
          <w:rFonts w:hint="eastAsia" w:ascii="宋体" w:hAnsi="宋体" w:cs="宋体"/>
          <w:color w:val="auto"/>
          <w:kern w:val="0"/>
        </w:rPr>
        <w:t>投标人或者其他利害关系人对评标结果有异议的，应当在中标候选人公示期间提出。招标人将在收到异议之日起 3 日内</w:t>
      </w:r>
      <w:r>
        <w:rPr>
          <w:rFonts w:hint="eastAsia" w:ascii="宋体" w:hAnsi="宋体" w:cs="宋体"/>
          <w:color w:val="auto"/>
          <w:kern w:val="0"/>
          <w:highlight w:val="none"/>
          <w:lang w:eastAsia="zh-CN"/>
        </w:rPr>
        <w:t>做出答复</w:t>
      </w:r>
      <w:r>
        <w:rPr>
          <w:rFonts w:hint="eastAsia" w:ascii="宋体" w:hAnsi="宋体" w:cs="宋体"/>
          <w:color w:val="auto"/>
          <w:kern w:val="0"/>
        </w:rPr>
        <w:t>；</w:t>
      </w:r>
      <w:r>
        <w:rPr>
          <w:rFonts w:hint="eastAsia" w:ascii="宋体" w:hAnsi="宋体" w:cs="宋体"/>
          <w:color w:val="auto"/>
          <w:kern w:val="0"/>
          <w:highlight w:val="none"/>
          <w:lang w:eastAsia="zh-CN"/>
        </w:rPr>
        <w:t>做出答复</w:t>
      </w:r>
      <w:r>
        <w:rPr>
          <w:rFonts w:hint="eastAsia" w:ascii="宋体" w:hAnsi="宋体" w:cs="宋体"/>
          <w:color w:val="auto"/>
          <w:kern w:val="0"/>
        </w:rPr>
        <w:t>前，将暂停招标投标活动。</w:t>
      </w:r>
    </w:p>
    <w:p>
      <w:pPr>
        <w:snapToGrid w:val="0"/>
        <w:spacing w:line="360" w:lineRule="auto"/>
        <w:outlineLvl w:val="1"/>
        <w:rPr>
          <w:rFonts w:hint="eastAsia" w:ascii="宋体" w:hAnsi="宋体" w:cs="宋体"/>
          <w:color w:val="auto"/>
          <w:kern w:val="0"/>
        </w:rPr>
      </w:pPr>
      <w:bookmarkStart w:id="119" w:name="_Toc6962"/>
      <w:bookmarkStart w:id="120" w:name="_Toc22097"/>
      <w:r>
        <w:rPr>
          <w:rFonts w:hint="eastAsia" w:ascii="宋体" w:hAnsi="宋体" w:cs="宋体"/>
          <w:color w:val="auto"/>
          <w:kern w:val="0"/>
        </w:rPr>
        <w:t>7.3中标候选人履约能力审查</w:t>
      </w:r>
      <w:bookmarkEnd w:id="119"/>
      <w:bookmarkEnd w:id="120"/>
    </w:p>
    <w:p>
      <w:pPr>
        <w:snapToGrid w:val="0"/>
        <w:spacing w:line="360" w:lineRule="auto"/>
        <w:rPr>
          <w:rFonts w:hint="eastAsia" w:ascii="宋体" w:hAnsi="宋体" w:cs="宋体"/>
          <w:color w:val="auto"/>
          <w:kern w:val="0"/>
        </w:rPr>
      </w:pPr>
      <w:r>
        <w:rPr>
          <w:rFonts w:hint="eastAsia" w:ascii="宋体" w:hAnsi="宋体" w:cs="宋体"/>
          <w:color w:val="auto"/>
          <w:kern w:val="0"/>
        </w:rPr>
        <w:t>中标候选人的经营、财务状况发生较大变化或存在违法行为，招标人认为可能影响其履约能力的，将在发出中标通知书前提请原评标委员会按照招标文件规定的标准和方法进行审查确认。</w:t>
      </w:r>
    </w:p>
    <w:p>
      <w:pPr>
        <w:snapToGrid w:val="0"/>
        <w:spacing w:line="360" w:lineRule="auto"/>
        <w:outlineLvl w:val="1"/>
        <w:rPr>
          <w:rFonts w:hint="eastAsia" w:ascii="宋体" w:hAnsi="宋体" w:cs="宋体"/>
          <w:color w:val="auto"/>
          <w:kern w:val="0"/>
        </w:rPr>
      </w:pPr>
      <w:bookmarkStart w:id="121" w:name="_Toc31335"/>
      <w:bookmarkStart w:id="122" w:name="_Toc28160"/>
      <w:r>
        <w:rPr>
          <w:rFonts w:hint="eastAsia" w:ascii="宋体" w:hAnsi="宋体" w:cs="宋体"/>
          <w:color w:val="auto"/>
          <w:kern w:val="0"/>
        </w:rPr>
        <w:t>7.4定标</w:t>
      </w:r>
      <w:bookmarkEnd w:id="121"/>
      <w:bookmarkEnd w:id="122"/>
    </w:p>
    <w:p>
      <w:pPr>
        <w:snapToGrid w:val="0"/>
        <w:spacing w:line="360" w:lineRule="auto"/>
        <w:rPr>
          <w:rFonts w:hint="eastAsia" w:ascii="宋体" w:hAnsi="宋体" w:cs="宋体"/>
          <w:color w:val="auto"/>
          <w:kern w:val="0"/>
        </w:rPr>
      </w:pPr>
      <w:r>
        <w:rPr>
          <w:rFonts w:hint="eastAsia" w:ascii="宋体" w:hAnsi="宋体" w:cs="宋体"/>
          <w:color w:val="auto"/>
          <w:kern w:val="0"/>
        </w:rPr>
        <w:t>按照投标人须知前附表的规定，招标人或招标人授权的评标委员会依法确定中标人。</w:t>
      </w:r>
    </w:p>
    <w:p>
      <w:pPr>
        <w:snapToGrid w:val="0"/>
        <w:spacing w:line="360" w:lineRule="auto"/>
        <w:outlineLvl w:val="1"/>
        <w:rPr>
          <w:rFonts w:hint="eastAsia" w:ascii="宋体" w:hAnsi="宋体" w:cs="宋体"/>
          <w:color w:val="auto"/>
          <w:kern w:val="0"/>
        </w:rPr>
      </w:pPr>
      <w:bookmarkStart w:id="123" w:name="_Toc5423"/>
      <w:bookmarkStart w:id="124" w:name="_Toc7363"/>
      <w:r>
        <w:rPr>
          <w:rFonts w:hint="eastAsia" w:ascii="宋体" w:hAnsi="宋体" w:cs="宋体"/>
          <w:color w:val="auto"/>
          <w:kern w:val="0"/>
        </w:rPr>
        <w:t>7.5中标通知</w:t>
      </w:r>
      <w:bookmarkEnd w:id="123"/>
      <w:bookmarkEnd w:id="124"/>
    </w:p>
    <w:p>
      <w:pPr>
        <w:snapToGrid w:val="0"/>
        <w:spacing w:line="360" w:lineRule="auto"/>
        <w:rPr>
          <w:rFonts w:hint="eastAsia" w:ascii="宋体" w:hAnsi="宋体" w:cs="宋体"/>
          <w:color w:val="auto"/>
          <w:kern w:val="0"/>
        </w:rPr>
      </w:pPr>
      <w:r>
        <w:rPr>
          <w:rFonts w:hint="eastAsia" w:ascii="宋体" w:hAnsi="宋体" w:cs="宋体"/>
          <w:color w:val="auto"/>
          <w:kern w:val="0"/>
        </w:rPr>
        <w:t>在本章第3.3款规定的投标有效期内，招标人以书面形式向中标人发出中标通知书，同时将中标结果通知未中标的投标人。</w:t>
      </w:r>
    </w:p>
    <w:p>
      <w:pPr>
        <w:snapToGrid w:val="0"/>
        <w:spacing w:line="360" w:lineRule="auto"/>
        <w:outlineLvl w:val="1"/>
        <w:rPr>
          <w:rFonts w:hint="eastAsia" w:ascii="宋体" w:hAnsi="宋体" w:eastAsia="宋体" w:cs="宋体"/>
          <w:color w:val="auto"/>
          <w:kern w:val="0"/>
          <w:lang w:eastAsia="zh-CN"/>
        </w:rPr>
      </w:pPr>
      <w:bookmarkStart w:id="125" w:name="_Toc28488"/>
      <w:bookmarkStart w:id="126" w:name="_Toc24577"/>
      <w:r>
        <w:rPr>
          <w:rFonts w:hint="eastAsia" w:ascii="宋体" w:hAnsi="宋体" w:cs="宋体"/>
          <w:color w:val="auto"/>
          <w:kern w:val="0"/>
        </w:rPr>
        <w:t>7.6</w:t>
      </w:r>
      <w:bookmarkEnd w:id="125"/>
      <w:bookmarkEnd w:id="126"/>
      <w:r>
        <w:rPr>
          <w:rFonts w:hint="eastAsia" w:ascii="宋体" w:hAnsi="宋体" w:cs="宋体"/>
          <w:color w:val="auto"/>
          <w:kern w:val="0"/>
          <w:highlight w:val="none"/>
          <w:lang w:eastAsia="zh-CN"/>
        </w:rPr>
        <w:t>履约保证</w:t>
      </w:r>
    </w:p>
    <w:p>
      <w:pPr>
        <w:snapToGrid w:val="0"/>
        <w:spacing w:line="360" w:lineRule="auto"/>
        <w:rPr>
          <w:rFonts w:hint="default" w:ascii="宋体" w:hAnsi="宋体" w:cs="宋体"/>
          <w:color w:val="auto"/>
          <w:kern w:val="0"/>
          <w:lang w:val="en-US" w:eastAsia="zh-CN"/>
        </w:rPr>
      </w:pPr>
      <w:r>
        <w:rPr>
          <w:rFonts w:hint="eastAsia" w:ascii="宋体" w:hAnsi="宋体" w:cs="宋体"/>
          <w:color w:val="auto"/>
          <w:kern w:val="0"/>
          <w:lang w:eastAsia="zh-CN"/>
        </w:rPr>
        <w:t>本次招标不需要交纳履约保证金。</w:t>
      </w:r>
    </w:p>
    <w:p>
      <w:pPr>
        <w:snapToGrid w:val="0"/>
        <w:spacing w:line="360" w:lineRule="auto"/>
        <w:outlineLvl w:val="1"/>
        <w:rPr>
          <w:rFonts w:hint="eastAsia" w:ascii="宋体" w:hAnsi="宋体" w:cs="宋体"/>
          <w:color w:val="auto"/>
          <w:kern w:val="0"/>
        </w:rPr>
      </w:pPr>
      <w:bookmarkStart w:id="127" w:name="_Toc9918"/>
      <w:bookmarkStart w:id="128" w:name="_Toc21703"/>
      <w:r>
        <w:rPr>
          <w:rFonts w:hint="eastAsia" w:ascii="宋体" w:hAnsi="宋体" w:cs="宋体"/>
          <w:color w:val="auto"/>
          <w:kern w:val="0"/>
        </w:rPr>
        <w:t>7.7签订合同</w:t>
      </w:r>
      <w:bookmarkEnd w:id="127"/>
      <w:bookmarkEnd w:id="128"/>
    </w:p>
    <w:p>
      <w:pPr>
        <w:snapToGrid w:val="0"/>
        <w:spacing w:line="360" w:lineRule="auto"/>
        <w:rPr>
          <w:rFonts w:hint="eastAsia" w:ascii="宋体" w:hAnsi="宋体" w:cs="宋体"/>
          <w:color w:val="auto"/>
          <w:kern w:val="0"/>
        </w:rPr>
      </w:pPr>
      <w:r>
        <w:rPr>
          <w:rFonts w:hint="eastAsia" w:ascii="宋体" w:hAnsi="宋体" w:cs="宋体"/>
          <w:color w:val="auto"/>
          <w:kern w:val="0"/>
        </w:rPr>
        <w:t>7.7.1招标人和中标人应当在中标通知书发出之日起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napToGrid w:val="0"/>
        <w:spacing w:line="360" w:lineRule="auto"/>
        <w:rPr>
          <w:rFonts w:hint="eastAsia" w:ascii="宋体" w:hAnsi="宋体" w:cs="宋体"/>
          <w:color w:val="auto"/>
          <w:kern w:val="0"/>
        </w:rPr>
      </w:pPr>
      <w:r>
        <w:rPr>
          <w:rFonts w:hint="eastAsia" w:ascii="宋体" w:hAnsi="宋体" w:cs="宋体"/>
          <w:color w:val="auto"/>
          <w:kern w:val="0"/>
        </w:rPr>
        <w:t>7.7.2发出中标通知书后，招标人无正当理由拒签合同，或者在签订合同时向中标人提出附加条件的，招标人向中标人退还投标保证金；给中标人造成损失的，还应当赔偿损失。</w:t>
      </w:r>
    </w:p>
    <w:p>
      <w:pPr>
        <w:snapToGrid w:val="0"/>
        <w:spacing w:line="360" w:lineRule="auto"/>
        <w:rPr>
          <w:rFonts w:hint="eastAsia" w:ascii="宋体" w:hAnsi="宋体" w:cs="宋体"/>
          <w:color w:val="auto"/>
          <w:kern w:val="0"/>
        </w:rPr>
      </w:pPr>
      <w:r>
        <w:rPr>
          <w:rFonts w:hint="eastAsia" w:ascii="宋体" w:hAnsi="宋体" w:cs="宋体"/>
          <w:color w:val="auto"/>
          <w:kern w:val="0"/>
        </w:rPr>
        <w:t>7.7.3联合体中标的，联合体各方应当共同与招标人签订合同，就中标项目向招标人承担连带责任。</w:t>
      </w:r>
    </w:p>
    <w:p>
      <w:pPr>
        <w:pStyle w:val="4"/>
        <w:snapToGrid w:val="0"/>
        <w:spacing w:before="0" w:after="0" w:line="360" w:lineRule="auto"/>
        <w:outlineLvl w:val="0"/>
        <w:rPr>
          <w:rFonts w:hint="eastAsia" w:ascii="宋体" w:hAnsi="宋体" w:cs="宋体"/>
          <w:color w:val="auto"/>
        </w:rPr>
      </w:pPr>
      <w:bookmarkStart w:id="129" w:name="_Toc12889"/>
      <w:bookmarkStart w:id="130" w:name="_Toc26734"/>
      <w:bookmarkStart w:id="131" w:name="_Toc47023091"/>
      <w:bookmarkStart w:id="132" w:name="_Toc40699927"/>
      <w:bookmarkStart w:id="133" w:name="_Toc17066"/>
      <w:bookmarkStart w:id="134" w:name="_Toc20749"/>
      <w:r>
        <w:rPr>
          <w:rFonts w:hint="eastAsia" w:ascii="宋体" w:hAnsi="宋体" w:cs="宋体"/>
          <w:color w:val="auto"/>
        </w:rPr>
        <w:t>8.纪律和监督</w:t>
      </w:r>
      <w:bookmarkEnd w:id="129"/>
      <w:bookmarkEnd w:id="130"/>
      <w:bookmarkEnd w:id="131"/>
      <w:bookmarkEnd w:id="132"/>
      <w:bookmarkEnd w:id="133"/>
      <w:bookmarkEnd w:id="134"/>
    </w:p>
    <w:p>
      <w:pPr>
        <w:snapToGrid w:val="0"/>
        <w:spacing w:line="360" w:lineRule="auto"/>
        <w:outlineLvl w:val="1"/>
        <w:rPr>
          <w:rFonts w:hint="eastAsia" w:ascii="宋体" w:hAnsi="宋体" w:cs="宋体"/>
          <w:color w:val="auto"/>
          <w:kern w:val="0"/>
        </w:rPr>
      </w:pPr>
      <w:bookmarkStart w:id="135" w:name="_Toc15697"/>
      <w:bookmarkStart w:id="136" w:name="_Toc14910"/>
      <w:r>
        <w:rPr>
          <w:rFonts w:hint="eastAsia" w:ascii="宋体" w:hAnsi="宋体" w:cs="宋体"/>
          <w:color w:val="auto"/>
          <w:kern w:val="0"/>
        </w:rPr>
        <w:t>8.1对招标人的纪律要求</w:t>
      </w:r>
      <w:bookmarkEnd w:id="135"/>
      <w:bookmarkEnd w:id="136"/>
    </w:p>
    <w:p>
      <w:pPr>
        <w:snapToGrid w:val="0"/>
        <w:spacing w:line="360" w:lineRule="auto"/>
        <w:rPr>
          <w:rFonts w:hint="eastAsia" w:ascii="宋体" w:hAnsi="宋体" w:cs="宋体"/>
          <w:color w:val="auto"/>
          <w:kern w:val="0"/>
        </w:rPr>
      </w:pPr>
      <w:r>
        <w:rPr>
          <w:rFonts w:hint="eastAsia" w:ascii="宋体" w:hAnsi="宋体" w:cs="宋体"/>
          <w:color w:val="auto"/>
          <w:kern w:val="0"/>
        </w:rPr>
        <w:t>招标人不得泄露招标投标活动中应当保密的情况和资料，不得与投标人串通损害国家利益、社会公共利益或者他人合法权益。</w:t>
      </w:r>
    </w:p>
    <w:p>
      <w:pPr>
        <w:snapToGrid w:val="0"/>
        <w:spacing w:line="360" w:lineRule="auto"/>
        <w:outlineLvl w:val="1"/>
        <w:rPr>
          <w:rFonts w:hint="eastAsia" w:ascii="宋体" w:hAnsi="宋体" w:cs="宋体"/>
          <w:color w:val="auto"/>
          <w:kern w:val="0"/>
        </w:rPr>
      </w:pPr>
      <w:bookmarkStart w:id="137" w:name="_Toc30658"/>
      <w:bookmarkStart w:id="138" w:name="_Toc17821"/>
      <w:r>
        <w:rPr>
          <w:rFonts w:hint="eastAsia" w:ascii="宋体" w:hAnsi="宋体" w:cs="宋体"/>
          <w:color w:val="auto"/>
          <w:kern w:val="0"/>
        </w:rPr>
        <w:t>8.2对投标人的纪律要求</w:t>
      </w:r>
      <w:bookmarkEnd w:id="137"/>
      <w:bookmarkEnd w:id="138"/>
    </w:p>
    <w:p>
      <w:pPr>
        <w:snapToGrid w:val="0"/>
        <w:spacing w:line="360" w:lineRule="auto"/>
        <w:rPr>
          <w:rFonts w:hint="eastAsia" w:ascii="宋体" w:hAnsi="宋体" w:cs="宋体"/>
          <w:color w:val="auto"/>
          <w:kern w:val="0"/>
        </w:rPr>
      </w:pPr>
      <w:r>
        <w:rPr>
          <w:rFonts w:hint="eastAsia" w:ascii="宋体" w:hAnsi="宋体" w:cs="宋体"/>
          <w:color w:val="auto"/>
          <w:kern w:val="0"/>
        </w:rPr>
        <w:t>投标人不得相互串通投标或者与招标人串通投标，不得向招标人或者评标委员会成员行贿谋取中标，不得以他人名义投标或者以其他方式弄虚作假骗取中标；投标人不得以任何方式干扰、影响评标工作。</w:t>
      </w:r>
    </w:p>
    <w:p>
      <w:pPr>
        <w:snapToGrid w:val="0"/>
        <w:spacing w:line="360" w:lineRule="auto"/>
        <w:outlineLvl w:val="1"/>
        <w:rPr>
          <w:rFonts w:hint="eastAsia" w:ascii="宋体" w:hAnsi="宋体" w:cs="宋体"/>
          <w:color w:val="auto"/>
          <w:kern w:val="0"/>
        </w:rPr>
      </w:pPr>
      <w:bookmarkStart w:id="139" w:name="_Toc13412"/>
      <w:bookmarkStart w:id="140" w:name="_Toc32673"/>
      <w:r>
        <w:rPr>
          <w:rFonts w:hint="eastAsia" w:ascii="宋体" w:hAnsi="宋体" w:cs="宋体"/>
          <w:color w:val="auto"/>
          <w:kern w:val="0"/>
        </w:rPr>
        <w:t>8.3对评标委员会成员的纪律要求</w:t>
      </w:r>
      <w:bookmarkEnd w:id="139"/>
      <w:bookmarkEnd w:id="140"/>
    </w:p>
    <w:p>
      <w:pPr>
        <w:snapToGrid w:val="0"/>
        <w:spacing w:line="360" w:lineRule="auto"/>
        <w:rPr>
          <w:rFonts w:hint="eastAsia" w:ascii="宋体" w:hAnsi="宋体" w:cs="宋体"/>
          <w:color w:val="auto"/>
          <w:kern w:val="0"/>
        </w:rPr>
      </w:pPr>
      <w:r>
        <w:rPr>
          <w:rFonts w:hint="eastAsia" w:ascii="宋体" w:hAnsi="宋体" w:cs="宋体"/>
          <w:color w:val="auto"/>
          <w:kern w:val="0"/>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二章“评标办法”没有规定的评审因素和标准进行评标。</w:t>
      </w:r>
    </w:p>
    <w:p>
      <w:pPr>
        <w:snapToGrid w:val="0"/>
        <w:spacing w:line="360" w:lineRule="auto"/>
        <w:outlineLvl w:val="1"/>
        <w:rPr>
          <w:rFonts w:hint="eastAsia" w:ascii="宋体" w:hAnsi="宋体" w:cs="宋体"/>
          <w:color w:val="auto"/>
          <w:kern w:val="0"/>
        </w:rPr>
      </w:pPr>
      <w:bookmarkStart w:id="141" w:name="_Toc16315"/>
      <w:bookmarkStart w:id="142" w:name="_Toc25524"/>
      <w:r>
        <w:rPr>
          <w:rFonts w:hint="eastAsia" w:ascii="宋体" w:hAnsi="宋体" w:cs="宋体"/>
          <w:color w:val="auto"/>
          <w:kern w:val="0"/>
        </w:rPr>
        <w:t>8.4对与评标活动有关的工作人员的纪律要求</w:t>
      </w:r>
      <w:bookmarkEnd w:id="141"/>
      <w:bookmarkEnd w:id="142"/>
    </w:p>
    <w:p>
      <w:pPr>
        <w:snapToGrid w:val="0"/>
        <w:spacing w:line="360" w:lineRule="auto"/>
        <w:rPr>
          <w:rFonts w:hint="eastAsia" w:ascii="宋体" w:hAnsi="宋体" w:cs="宋体"/>
          <w:color w:val="auto"/>
          <w:kern w:val="0"/>
        </w:rPr>
      </w:pPr>
      <w:r>
        <w:rPr>
          <w:rFonts w:hint="eastAsia" w:ascii="宋体" w:hAnsi="宋体" w:cs="宋体"/>
          <w:color w:val="auto"/>
          <w:kern w:val="0"/>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line="360" w:lineRule="auto"/>
        <w:outlineLvl w:val="1"/>
        <w:rPr>
          <w:rFonts w:hint="eastAsia" w:ascii="宋体" w:hAnsi="宋体" w:cs="宋体"/>
          <w:color w:val="auto"/>
          <w:kern w:val="0"/>
        </w:rPr>
      </w:pPr>
      <w:bookmarkStart w:id="143" w:name="_Toc2722"/>
      <w:bookmarkStart w:id="144" w:name="_Toc19865"/>
      <w:r>
        <w:rPr>
          <w:rFonts w:hint="eastAsia" w:ascii="宋体" w:hAnsi="宋体" w:cs="宋体"/>
          <w:color w:val="auto"/>
          <w:kern w:val="0"/>
        </w:rPr>
        <w:t>8.5质疑与投诉</w:t>
      </w:r>
      <w:bookmarkEnd w:id="143"/>
      <w:bookmarkEnd w:id="144"/>
    </w:p>
    <w:p>
      <w:pPr>
        <w:snapToGrid w:val="0"/>
        <w:spacing w:line="360" w:lineRule="auto"/>
        <w:ind w:firstLine="0" w:firstLineChars="0"/>
        <w:outlineLvl w:val="1"/>
        <w:rPr>
          <w:rFonts w:hint="eastAsia" w:ascii="宋体" w:hAnsi="宋体" w:cs="宋体"/>
          <w:color w:val="auto"/>
          <w:szCs w:val="21"/>
        </w:rPr>
      </w:pPr>
      <w:r>
        <w:rPr>
          <w:rFonts w:hint="eastAsia" w:cs="宋体"/>
          <w:color w:val="auto"/>
          <w:kern w:val="0"/>
          <w:lang w:val="en-US" w:eastAsia="zh-CN"/>
        </w:rPr>
        <w:t xml:space="preserve">   </w:t>
      </w:r>
      <w:r>
        <w:rPr>
          <w:rFonts w:hint="eastAsia" w:ascii="宋体" w:hAnsi="宋体" w:cs="宋体"/>
          <w:color w:val="auto"/>
          <w:szCs w:val="21"/>
          <w:highlight w:val="white"/>
        </w:rPr>
        <w:t>8.5.1投标人认为采购文件、采购过程和中标结果使自己的权益受到损害的，可以在知道或者应知其权益受到损害之日起七个工作日内（具体起算时间见8.5.2）</w:t>
      </w:r>
      <w:r>
        <w:rPr>
          <w:rFonts w:hint="eastAsia" w:ascii="宋体" w:hAnsi="宋体" w:cs="宋体"/>
          <w:color w:val="auto"/>
          <w:szCs w:val="21"/>
          <w:highlight w:val="white"/>
          <w:u w:val="single"/>
        </w:rPr>
        <w:t>，</w:t>
      </w:r>
      <w:r>
        <w:rPr>
          <w:rFonts w:hint="eastAsia" w:ascii="宋体" w:hAnsi="宋体" w:cs="宋体"/>
          <w:b/>
          <w:color w:val="auto"/>
          <w:szCs w:val="21"/>
          <w:highlight w:val="white"/>
          <w:u w:val="single"/>
        </w:rPr>
        <w:t>将质疑函以书面形式由法定代表人或法人授权代表送达采购代理机构或采购单位</w:t>
      </w:r>
      <w:r>
        <w:rPr>
          <w:rFonts w:hint="eastAsia" w:ascii="宋体" w:hAnsi="宋体" w:cs="宋体"/>
          <w:color w:val="auto"/>
          <w:szCs w:val="21"/>
          <w:highlight w:val="white"/>
          <w:u w:val="single"/>
        </w:rPr>
        <w:t>。</w:t>
      </w:r>
      <w:r>
        <w:rPr>
          <w:rFonts w:hint="eastAsia" w:ascii="宋体" w:hAnsi="宋体" w:cs="宋体"/>
          <w:color w:val="auto"/>
          <w:szCs w:val="21"/>
          <w:highlight w:val="white"/>
        </w:rPr>
        <w:t>质疑超出采购机构代理范围的，供应商应当向采购人提出。</w:t>
      </w:r>
    </w:p>
    <w:p>
      <w:pPr>
        <w:spacing w:line="500" w:lineRule="exact"/>
        <w:rPr>
          <w:rFonts w:hint="eastAsia" w:ascii="宋体" w:hAnsi="宋体" w:cs="宋体"/>
          <w:color w:val="auto"/>
          <w:szCs w:val="21"/>
        </w:rPr>
      </w:pPr>
      <w:r>
        <w:rPr>
          <w:rFonts w:hint="eastAsia" w:ascii="宋体" w:hAnsi="宋体" w:cs="宋体"/>
          <w:color w:val="auto"/>
          <w:szCs w:val="21"/>
          <w:highlight w:val="white"/>
        </w:rPr>
        <w:t>8.5.2质疑起算时间</w:t>
      </w:r>
    </w:p>
    <w:p>
      <w:pPr>
        <w:spacing w:line="500" w:lineRule="exact"/>
        <w:rPr>
          <w:rFonts w:hint="eastAsia" w:ascii="宋体" w:hAnsi="宋体" w:cs="宋体"/>
          <w:color w:val="auto"/>
          <w:szCs w:val="21"/>
        </w:rPr>
      </w:pPr>
      <w:r>
        <w:rPr>
          <w:rFonts w:hint="eastAsia" w:ascii="宋体" w:hAnsi="宋体" w:cs="宋体"/>
          <w:color w:val="auto"/>
          <w:szCs w:val="21"/>
          <w:highlight w:val="white"/>
        </w:rPr>
        <w:t>（1）对本项目采购文件提出质疑的，为采购文件公告期限届满之日；</w:t>
      </w:r>
    </w:p>
    <w:p>
      <w:pPr>
        <w:spacing w:line="500" w:lineRule="exact"/>
        <w:rPr>
          <w:rFonts w:hint="eastAsia" w:ascii="宋体" w:hAnsi="宋体" w:cs="宋体"/>
          <w:color w:val="auto"/>
          <w:szCs w:val="21"/>
        </w:rPr>
      </w:pPr>
      <w:r>
        <w:rPr>
          <w:rFonts w:hint="eastAsia" w:ascii="宋体" w:hAnsi="宋体" w:cs="宋体"/>
          <w:color w:val="auto"/>
          <w:szCs w:val="21"/>
          <w:highlight w:val="white"/>
        </w:rPr>
        <w:t>（2）对本项目采购过程提出质疑的，为各采购程序环节结束之日；</w:t>
      </w:r>
    </w:p>
    <w:p>
      <w:pPr>
        <w:spacing w:line="500" w:lineRule="exact"/>
        <w:rPr>
          <w:rFonts w:hint="eastAsia" w:ascii="宋体" w:hAnsi="宋体" w:cs="宋体"/>
          <w:color w:val="auto"/>
          <w:szCs w:val="21"/>
        </w:rPr>
      </w:pPr>
      <w:r>
        <w:rPr>
          <w:rFonts w:hint="eastAsia" w:ascii="宋体" w:hAnsi="宋体" w:cs="宋体"/>
          <w:color w:val="auto"/>
          <w:szCs w:val="21"/>
          <w:highlight w:val="white"/>
        </w:rPr>
        <w:t>（3）对本项目中标或者成交结果提出质疑的，为中标或者成交结果公告期限届满之日。</w:t>
      </w:r>
    </w:p>
    <w:p>
      <w:pPr>
        <w:spacing w:line="500" w:lineRule="exact"/>
        <w:rPr>
          <w:rFonts w:hint="eastAsia" w:ascii="宋体" w:hAnsi="宋体" w:cs="宋体"/>
          <w:color w:val="auto"/>
          <w:szCs w:val="21"/>
        </w:rPr>
      </w:pPr>
      <w:r>
        <w:rPr>
          <w:rFonts w:hint="eastAsia" w:ascii="宋体" w:hAnsi="宋体" w:cs="宋体"/>
          <w:color w:val="auto"/>
          <w:szCs w:val="21"/>
          <w:highlight w:val="white"/>
        </w:rPr>
        <w:t>8.5.3投标人委托代理质疑的，应当向代理人提交授权委托书，并载明委托代理的具体权限和事项。委托代理人须为质疑人正式工作人员，提供近三个月内质疑人为其缴纳社会保险的证明。</w:t>
      </w:r>
    </w:p>
    <w:p>
      <w:pPr>
        <w:spacing w:line="500" w:lineRule="exact"/>
        <w:rPr>
          <w:rFonts w:hint="eastAsia" w:ascii="宋体" w:hAnsi="宋体" w:cs="宋体"/>
          <w:color w:val="auto"/>
          <w:szCs w:val="21"/>
        </w:rPr>
      </w:pPr>
      <w:r>
        <w:rPr>
          <w:rFonts w:hint="eastAsia" w:ascii="宋体" w:hAnsi="宋体" w:cs="宋体"/>
          <w:color w:val="auto"/>
          <w:szCs w:val="21"/>
          <w:highlight w:val="white"/>
        </w:rPr>
        <w:t>8.5.4质疑函的必备内容</w:t>
      </w:r>
    </w:p>
    <w:p>
      <w:pPr>
        <w:spacing w:line="500" w:lineRule="exact"/>
        <w:rPr>
          <w:rFonts w:hint="eastAsia" w:ascii="宋体" w:hAnsi="宋体" w:cs="宋体"/>
          <w:color w:val="auto"/>
          <w:szCs w:val="21"/>
        </w:rPr>
      </w:pPr>
      <w:r>
        <w:rPr>
          <w:rFonts w:hint="eastAsia" w:ascii="宋体" w:hAnsi="宋体" w:cs="宋体"/>
          <w:color w:val="auto"/>
          <w:szCs w:val="21"/>
          <w:highlight w:val="white"/>
        </w:rPr>
        <w:t>（1）质疑函必须注明质疑人单位名称、详细地址、邮编、单位和法定代表人电话号码、联系人及电话；</w:t>
      </w:r>
    </w:p>
    <w:p>
      <w:pPr>
        <w:spacing w:line="500" w:lineRule="exact"/>
        <w:rPr>
          <w:rFonts w:hint="eastAsia" w:ascii="宋体" w:hAnsi="宋体" w:cs="宋体"/>
          <w:color w:val="auto"/>
          <w:szCs w:val="21"/>
        </w:rPr>
      </w:pPr>
      <w:r>
        <w:rPr>
          <w:rFonts w:hint="eastAsia" w:ascii="宋体" w:hAnsi="宋体" w:cs="宋体"/>
          <w:color w:val="auto"/>
          <w:szCs w:val="21"/>
          <w:highlight w:val="white"/>
        </w:rPr>
        <w:t>（2）所参加项目的具体质疑事项及事实依据；</w:t>
      </w:r>
    </w:p>
    <w:p>
      <w:pPr>
        <w:spacing w:line="500" w:lineRule="exact"/>
        <w:rPr>
          <w:rFonts w:hint="eastAsia" w:ascii="宋体" w:hAnsi="宋体" w:cs="宋体"/>
          <w:color w:val="auto"/>
          <w:szCs w:val="21"/>
        </w:rPr>
      </w:pPr>
      <w:r>
        <w:rPr>
          <w:rFonts w:hint="eastAsia" w:ascii="宋体" w:hAnsi="宋体" w:cs="宋体"/>
          <w:color w:val="auto"/>
          <w:szCs w:val="21"/>
          <w:highlight w:val="white"/>
        </w:rPr>
        <w:t>（3）认为自己合法权益受到损害或可能受到损害的相关证据材料；</w:t>
      </w:r>
    </w:p>
    <w:p>
      <w:pPr>
        <w:spacing w:line="500" w:lineRule="exact"/>
        <w:rPr>
          <w:rFonts w:hint="eastAsia" w:ascii="宋体" w:hAnsi="宋体" w:cs="宋体"/>
          <w:color w:val="auto"/>
          <w:szCs w:val="21"/>
        </w:rPr>
      </w:pPr>
      <w:r>
        <w:rPr>
          <w:rFonts w:hint="eastAsia" w:ascii="宋体" w:hAnsi="宋体" w:cs="宋体"/>
          <w:color w:val="auto"/>
          <w:szCs w:val="21"/>
          <w:highlight w:val="white"/>
        </w:rPr>
        <w:t xml:space="preserve">（4）提起质疑的日期； </w:t>
      </w:r>
    </w:p>
    <w:p>
      <w:pPr>
        <w:spacing w:line="500" w:lineRule="exact"/>
        <w:rPr>
          <w:rFonts w:hint="eastAsia" w:ascii="宋体" w:hAnsi="宋体" w:cs="宋体"/>
          <w:color w:val="auto"/>
          <w:szCs w:val="21"/>
        </w:rPr>
      </w:pPr>
      <w:r>
        <w:rPr>
          <w:rFonts w:hint="eastAsia" w:ascii="宋体" w:hAnsi="宋体" w:cs="宋体"/>
          <w:color w:val="auto"/>
          <w:szCs w:val="21"/>
          <w:highlight w:val="white"/>
        </w:rPr>
        <w:t>（5）质疑函必须由法定代表人签字并加盖公章。</w:t>
      </w:r>
    </w:p>
    <w:p>
      <w:pPr>
        <w:spacing w:line="500" w:lineRule="exact"/>
        <w:rPr>
          <w:rFonts w:hint="eastAsia" w:ascii="宋体" w:hAnsi="宋体" w:cs="宋体"/>
          <w:color w:val="auto"/>
          <w:szCs w:val="21"/>
        </w:rPr>
      </w:pPr>
      <w:r>
        <w:rPr>
          <w:rFonts w:hint="eastAsia" w:ascii="宋体" w:hAnsi="宋体" w:cs="宋体"/>
          <w:color w:val="auto"/>
          <w:szCs w:val="21"/>
          <w:highlight w:val="white"/>
        </w:rPr>
        <w:t>8.5.5质疑应符合下列条件：</w:t>
      </w:r>
    </w:p>
    <w:p>
      <w:pPr>
        <w:spacing w:line="500" w:lineRule="exact"/>
        <w:rPr>
          <w:rFonts w:hint="eastAsia" w:ascii="宋体" w:hAnsi="宋体" w:cs="宋体"/>
          <w:color w:val="auto"/>
          <w:szCs w:val="21"/>
        </w:rPr>
      </w:pPr>
      <w:r>
        <w:rPr>
          <w:rFonts w:hint="eastAsia" w:ascii="宋体" w:hAnsi="宋体" w:cs="宋体"/>
          <w:color w:val="auto"/>
          <w:szCs w:val="21"/>
          <w:highlight w:val="white"/>
        </w:rPr>
        <w:t>（1）质疑人是参与所质疑项目的投标人；</w:t>
      </w:r>
    </w:p>
    <w:p>
      <w:pPr>
        <w:spacing w:line="500" w:lineRule="exact"/>
        <w:rPr>
          <w:rFonts w:hint="eastAsia" w:ascii="宋体" w:hAnsi="宋体" w:cs="宋体"/>
          <w:color w:val="auto"/>
          <w:szCs w:val="21"/>
        </w:rPr>
      </w:pPr>
      <w:r>
        <w:rPr>
          <w:rFonts w:hint="eastAsia" w:ascii="宋体" w:hAnsi="宋体" w:cs="宋体"/>
          <w:color w:val="auto"/>
          <w:szCs w:val="21"/>
          <w:highlight w:val="white"/>
        </w:rPr>
        <w:t>（2）质疑函内容符合相关的规定；</w:t>
      </w:r>
    </w:p>
    <w:p>
      <w:pPr>
        <w:spacing w:line="500" w:lineRule="exact"/>
        <w:rPr>
          <w:rFonts w:hint="eastAsia" w:ascii="宋体" w:hAnsi="宋体" w:cs="宋体"/>
          <w:color w:val="auto"/>
          <w:szCs w:val="21"/>
        </w:rPr>
      </w:pPr>
      <w:r>
        <w:rPr>
          <w:rFonts w:hint="eastAsia" w:ascii="宋体" w:hAnsi="宋体" w:cs="宋体"/>
          <w:color w:val="auto"/>
          <w:szCs w:val="21"/>
          <w:highlight w:val="white"/>
        </w:rPr>
        <w:t>（3）在规定的有效期限内提起质疑；</w:t>
      </w:r>
    </w:p>
    <w:p>
      <w:pPr>
        <w:spacing w:line="500" w:lineRule="exact"/>
        <w:rPr>
          <w:rFonts w:hint="eastAsia" w:ascii="宋体" w:hAnsi="宋体" w:cs="宋体"/>
          <w:color w:val="auto"/>
          <w:szCs w:val="21"/>
        </w:rPr>
      </w:pPr>
      <w:r>
        <w:rPr>
          <w:rFonts w:hint="eastAsia" w:ascii="宋体" w:hAnsi="宋体" w:cs="宋体"/>
          <w:color w:val="auto"/>
          <w:szCs w:val="21"/>
          <w:highlight w:val="white"/>
        </w:rPr>
        <w:t>（4）国务院财政部门规定的其他条件。</w:t>
      </w:r>
    </w:p>
    <w:p>
      <w:pPr>
        <w:spacing w:line="500" w:lineRule="exact"/>
        <w:rPr>
          <w:rFonts w:hint="eastAsia" w:ascii="宋体" w:hAnsi="宋体" w:cs="宋体"/>
          <w:color w:val="auto"/>
          <w:szCs w:val="21"/>
        </w:rPr>
      </w:pPr>
      <w:r>
        <w:rPr>
          <w:rFonts w:hint="eastAsia" w:ascii="宋体" w:hAnsi="宋体" w:cs="宋体"/>
          <w:color w:val="auto"/>
          <w:szCs w:val="21"/>
          <w:highlight w:val="white"/>
        </w:rPr>
        <w:t>8.5.6招标采购单位在收到质疑函后，认为质疑函内容、格式等不符合本规定的，告知质疑人进行补正。质疑人应当在法定质疑期限内进行补正并重新提交质疑函，拒不补正或者超过法定期限后未重新提交质疑函的，为无效质疑。</w:t>
      </w:r>
    </w:p>
    <w:p>
      <w:pPr>
        <w:spacing w:line="500" w:lineRule="exact"/>
        <w:rPr>
          <w:rFonts w:hint="eastAsia" w:ascii="宋体" w:hAnsi="宋体" w:cs="宋体"/>
          <w:color w:val="auto"/>
          <w:szCs w:val="21"/>
        </w:rPr>
      </w:pPr>
      <w:r>
        <w:rPr>
          <w:rFonts w:hint="eastAsia" w:ascii="宋体" w:hAnsi="宋体" w:cs="宋体"/>
          <w:color w:val="auto"/>
          <w:szCs w:val="21"/>
          <w:highlight w:val="white"/>
        </w:rPr>
        <w:t>8.5.7招标采购单位在收到投标人的书面质疑后七个工作日内</w:t>
      </w:r>
      <w:r>
        <w:rPr>
          <w:rFonts w:hint="eastAsia" w:ascii="宋体" w:hAnsi="宋体" w:cs="宋体"/>
          <w:color w:val="auto"/>
          <w:szCs w:val="21"/>
          <w:highlight w:val="none"/>
          <w:lang w:eastAsia="zh-CN"/>
        </w:rPr>
        <w:t>做出答复</w:t>
      </w:r>
      <w:r>
        <w:rPr>
          <w:rFonts w:hint="eastAsia" w:ascii="宋体" w:hAnsi="宋体" w:cs="宋体"/>
          <w:color w:val="auto"/>
          <w:szCs w:val="21"/>
          <w:highlight w:val="white"/>
        </w:rPr>
        <w:t>，并以书面形式通知质疑投标人和其他有关人员，但答复的内容不涉及商业秘密。</w:t>
      </w:r>
    </w:p>
    <w:p>
      <w:pPr>
        <w:spacing w:line="500" w:lineRule="exact"/>
        <w:rPr>
          <w:rFonts w:hint="eastAsia" w:ascii="宋体" w:hAnsi="宋体" w:cs="宋体"/>
          <w:color w:val="auto"/>
          <w:szCs w:val="21"/>
        </w:rPr>
      </w:pPr>
      <w:r>
        <w:rPr>
          <w:rFonts w:hint="eastAsia" w:ascii="宋体" w:hAnsi="宋体" w:cs="宋体"/>
          <w:color w:val="auto"/>
          <w:szCs w:val="21"/>
          <w:highlight w:val="white"/>
        </w:rPr>
        <w:t>8.5.8提出质疑的投标人对答复不满意的，可以在答复期满后十五个工作日内向同级政府采购监督管理部门投诉。政府采购监督管理部门应当在收到投诉三十个工作日内，对投诉事项</w:t>
      </w:r>
      <w:r>
        <w:rPr>
          <w:rFonts w:hint="eastAsia" w:ascii="宋体" w:hAnsi="宋体" w:cs="宋体"/>
          <w:color w:val="auto"/>
          <w:szCs w:val="21"/>
          <w:highlight w:val="none"/>
          <w:lang w:eastAsia="zh-CN"/>
        </w:rPr>
        <w:t>做出处理</w:t>
      </w:r>
      <w:r>
        <w:rPr>
          <w:rFonts w:hint="eastAsia" w:ascii="宋体" w:hAnsi="宋体" w:cs="宋体"/>
          <w:color w:val="auto"/>
          <w:szCs w:val="21"/>
          <w:highlight w:val="white"/>
        </w:rPr>
        <w:t>决定，并以书面形式通知投诉人和与投诉事项相关的当事人。</w:t>
      </w:r>
    </w:p>
    <w:p>
      <w:pPr>
        <w:spacing w:line="500" w:lineRule="exact"/>
        <w:ind w:firstLine="422"/>
        <w:rPr>
          <w:rFonts w:hint="eastAsia" w:ascii="宋体" w:hAnsi="宋体" w:cs="宋体"/>
          <w:b/>
          <w:color w:val="auto"/>
          <w:szCs w:val="21"/>
          <w:u w:val="single"/>
        </w:rPr>
      </w:pPr>
      <w:r>
        <w:rPr>
          <w:rFonts w:hint="eastAsia" w:ascii="宋体" w:hAnsi="宋体" w:cs="宋体"/>
          <w:b/>
          <w:color w:val="auto"/>
          <w:szCs w:val="21"/>
          <w:highlight w:val="white"/>
          <w:u w:val="single"/>
        </w:rPr>
        <w:t>8.5.9对不符合质疑投诉条件及虚假、恶意质疑投诉、举报将予以驳回，并记录诚信管理档案，降低诚信等级。</w:t>
      </w:r>
    </w:p>
    <w:p>
      <w:pPr>
        <w:pStyle w:val="2"/>
        <w:ind w:firstLine="420"/>
        <w:rPr>
          <w:rFonts w:hint="eastAsia" w:cs="宋体"/>
          <w:color w:val="auto"/>
          <w:sz w:val="21"/>
          <w:szCs w:val="21"/>
        </w:rPr>
      </w:pPr>
    </w:p>
    <w:p>
      <w:pPr>
        <w:pStyle w:val="4"/>
        <w:snapToGrid w:val="0"/>
        <w:spacing w:before="0" w:after="0" w:line="360" w:lineRule="auto"/>
        <w:outlineLvl w:val="0"/>
        <w:rPr>
          <w:rFonts w:hint="eastAsia" w:ascii="宋体" w:hAnsi="宋体" w:cs="宋体"/>
          <w:color w:val="auto"/>
        </w:rPr>
      </w:pPr>
      <w:bookmarkStart w:id="145" w:name="_Toc18267"/>
      <w:bookmarkStart w:id="146" w:name="_Toc29181"/>
      <w:bookmarkStart w:id="147" w:name="_Toc40699928"/>
      <w:bookmarkStart w:id="148" w:name="_Toc47023092"/>
      <w:bookmarkStart w:id="149" w:name="_Toc12206"/>
      <w:bookmarkStart w:id="150" w:name="_Toc16846"/>
      <w:r>
        <w:rPr>
          <w:rFonts w:hint="eastAsia" w:ascii="宋体" w:hAnsi="宋体" w:cs="宋体"/>
          <w:color w:val="auto"/>
        </w:rPr>
        <w:t>9.是否采用电子招标投标</w:t>
      </w:r>
      <w:bookmarkEnd w:id="145"/>
      <w:bookmarkEnd w:id="146"/>
      <w:bookmarkEnd w:id="147"/>
      <w:bookmarkEnd w:id="148"/>
      <w:bookmarkEnd w:id="149"/>
      <w:bookmarkEnd w:id="150"/>
    </w:p>
    <w:p>
      <w:pPr>
        <w:snapToGrid w:val="0"/>
        <w:spacing w:line="360" w:lineRule="auto"/>
        <w:rPr>
          <w:rFonts w:hint="eastAsia" w:ascii="宋体" w:hAnsi="宋体" w:cs="宋体"/>
          <w:color w:val="auto"/>
          <w:kern w:val="0"/>
        </w:rPr>
      </w:pPr>
      <w:r>
        <w:rPr>
          <w:rFonts w:hint="eastAsia" w:ascii="宋体" w:hAnsi="宋体" w:cs="宋体"/>
          <w:color w:val="auto"/>
          <w:kern w:val="0"/>
        </w:rPr>
        <w:t>本招标项目是否采用电子招标投标方式，见投标人须知前附表。</w:t>
      </w:r>
    </w:p>
    <w:p>
      <w:pPr>
        <w:rPr>
          <w:rFonts w:hint="eastAsia" w:ascii="宋体" w:hAnsi="宋体" w:cs="宋体"/>
          <w:color w:val="auto"/>
        </w:rPr>
      </w:pPr>
      <w:bookmarkStart w:id="151" w:name="_Toc19541"/>
      <w:bookmarkStart w:id="152" w:name="_Toc31109"/>
      <w:bookmarkStart w:id="153" w:name="_Toc12378"/>
      <w:bookmarkStart w:id="154" w:name="_Toc40699929"/>
      <w:bookmarkStart w:id="155" w:name="_Toc47023093"/>
      <w:bookmarkStart w:id="156" w:name="_Toc12612"/>
      <w:r>
        <w:rPr>
          <w:rFonts w:hint="eastAsia" w:ascii="宋体" w:hAnsi="宋体" w:cs="宋体"/>
          <w:color w:val="auto"/>
        </w:rPr>
        <w:br w:type="page"/>
      </w:r>
    </w:p>
    <w:p>
      <w:pPr>
        <w:pStyle w:val="4"/>
        <w:snapToGrid w:val="0"/>
        <w:spacing w:before="0" w:after="0" w:line="360" w:lineRule="auto"/>
        <w:outlineLvl w:val="0"/>
        <w:rPr>
          <w:rFonts w:hint="eastAsia" w:ascii="宋体" w:hAnsi="宋体" w:cs="宋体"/>
          <w:color w:val="auto"/>
        </w:rPr>
      </w:pPr>
      <w:r>
        <w:rPr>
          <w:rFonts w:hint="eastAsia" w:ascii="宋体" w:hAnsi="宋体" w:cs="宋体"/>
          <w:color w:val="auto"/>
        </w:rPr>
        <w:t>10.需要补充的其他内容</w:t>
      </w:r>
      <w:bookmarkEnd w:id="151"/>
      <w:bookmarkEnd w:id="152"/>
      <w:bookmarkEnd w:id="153"/>
      <w:bookmarkEnd w:id="154"/>
      <w:bookmarkEnd w:id="155"/>
      <w:bookmarkEnd w:id="156"/>
    </w:p>
    <w:p>
      <w:pPr>
        <w:snapToGrid w:val="0"/>
        <w:spacing w:line="360" w:lineRule="auto"/>
        <w:rPr>
          <w:rFonts w:hint="eastAsia" w:ascii="宋体" w:hAnsi="宋体" w:cs="宋体"/>
          <w:color w:val="auto"/>
          <w:kern w:val="0"/>
        </w:rPr>
      </w:pPr>
      <w:r>
        <w:rPr>
          <w:rFonts w:hint="eastAsia" w:ascii="宋体" w:hAnsi="宋体" w:cs="宋体"/>
          <w:color w:val="auto"/>
          <w:kern w:val="0"/>
        </w:rPr>
        <w:t>需要补充的其他内容：见投标人须知前附表。</w:t>
      </w:r>
    </w:p>
    <w:p>
      <w:pPr>
        <w:pStyle w:val="3"/>
        <w:snapToGrid w:val="0"/>
        <w:spacing w:before="0" w:after="0" w:line="360" w:lineRule="auto"/>
        <w:rPr>
          <w:rFonts w:hint="eastAsia" w:cs="宋体"/>
          <w:color w:val="auto"/>
          <w:kern w:val="0"/>
        </w:rPr>
      </w:pPr>
      <w:bookmarkStart w:id="157" w:name="_Toc16096"/>
      <w:bookmarkStart w:id="158" w:name="_Toc13836"/>
      <w:bookmarkStart w:id="159" w:name="_Toc2541"/>
      <w:r>
        <w:rPr>
          <w:rFonts w:hint="eastAsia" w:cs="宋体"/>
          <w:color w:val="auto"/>
          <w:kern w:val="0"/>
        </w:rPr>
        <w:br w:type="column"/>
      </w:r>
      <w:bookmarkStart w:id="160" w:name="_Toc40699930"/>
      <w:bookmarkStart w:id="161" w:name="_Toc47023094"/>
      <w:r>
        <w:rPr>
          <w:rFonts w:hint="eastAsia" w:cs="宋体"/>
          <w:color w:val="auto"/>
          <w:kern w:val="0"/>
        </w:rPr>
        <w:t>第二章 评标办法（综合评估法）</w:t>
      </w:r>
      <w:bookmarkEnd w:id="157"/>
      <w:bookmarkEnd w:id="158"/>
      <w:bookmarkEnd w:id="159"/>
      <w:bookmarkEnd w:id="160"/>
      <w:bookmarkEnd w:id="161"/>
    </w:p>
    <w:p>
      <w:pPr>
        <w:pStyle w:val="4"/>
        <w:snapToGrid w:val="0"/>
        <w:spacing w:before="0" w:after="0" w:line="360" w:lineRule="auto"/>
        <w:rPr>
          <w:rFonts w:hint="eastAsia" w:ascii="宋体" w:hAnsi="宋体" w:cs="宋体"/>
          <w:color w:val="auto"/>
        </w:rPr>
      </w:pPr>
      <w:bookmarkStart w:id="162" w:name="_Toc26177"/>
      <w:bookmarkStart w:id="163" w:name="_Toc18445"/>
      <w:bookmarkStart w:id="164" w:name="_Toc13469"/>
      <w:bookmarkStart w:id="165" w:name="_Toc47023095"/>
      <w:bookmarkStart w:id="166" w:name="_Toc40699931"/>
      <w:r>
        <w:rPr>
          <w:rFonts w:hint="eastAsia" w:ascii="宋体" w:hAnsi="宋体" w:cs="宋体"/>
          <w:color w:val="auto"/>
        </w:rPr>
        <w:t>评标办法前附表</w:t>
      </w:r>
      <w:bookmarkEnd w:id="162"/>
      <w:bookmarkEnd w:id="163"/>
      <w:bookmarkEnd w:id="164"/>
      <w:bookmarkEnd w:id="165"/>
      <w:bookmarkEnd w:id="166"/>
    </w:p>
    <w:tbl>
      <w:tblPr>
        <w:tblStyle w:val="30"/>
        <w:tblW w:w="5027" w:type="pct"/>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993"/>
        <w:gridCol w:w="3189"/>
        <w:gridCol w:w="4185"/>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2499" w:type="pct"/>
            <w:gridSpan w:val="2"/>
            <w:tcBorders>
              <w:top w:val="outset" w:color="auto" w:sz="6" w:space="0"/>
              <w:left w:val="outset" w:color="auto" w:sz="6" w:space="0"/>
              <w:bottom w:val="outset" w:color="auto" w:sz="6" w:space="0"/>
              <w:right w:val="outset" w:color="auto" w:sz="6" w:space="0"/>
            </w:tcBorders>
            <w:noWrap w:val="0"/>
            <w:vAlign w:val="center"/>
          </w:tcPr>
          <w:p>
            <w:pPr>
              <w:jc w:val="center"/>
              <w:rPr>
                <w:color w:val="auto"/>
              </w:rPr>
            </w:pPr>
            <w:bookmarkStart w:id="167" w:name="_Toc4851"/>
            <w:bookmarkStart w:id="168" w:name="_Toc14441"/>
            <w:bookmarkStart w:id="169" w:name="_Toc28614"/>
            <w:bookmarkStart w:id="170" w:name="_Toc26353"/>
            <w:bookmarkStart w:id="171" w:name="_Toc40699932"/>
            <w:r>
              <w:rPr>
                <w:color w:val="auto"/>
              </w:rPr>
              <w:t>评审因素</w:t>
            </w:r>
          </w:p>
        </w:tc>
        <w:tc>
          <w:tcPr>
            <w:tcW w:w="2500" w:type="pct"/>
            <w:tcBorders>
              <w:top w:val="outset" w:color="auto" w:sz="6" w:space="0"/>
              <w:left w:val="outset" w:color="auto" w:sz="6" w:space="0"/>
              <w:bottom w:val="outset" w:color="auto" w:sz="6" w:space="0"/>
              <w:right w:val="outset" w:color="auto" w:sz="6" w:space="0"/>
            </w:tcBorders>
            <w:noWrap w:val="0"/>
            <w:vAlign w:val="center"/>
          </w:tcPr>
          <w:p>
            <w:pPr>
              <w:jc w:val="center"/>
              <w:rPr>
                <w:color w:val="auto"/>
              </w:rPr>
            </w:pPr>
            <w:r>
              <w:rPr>
                <w:color w:val="auto"/>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outset" w:color="auto" w:sz="6" w:space="0"/>
              <w:left w:val="outset" w:color="auto" w:sz="6" w:space="0"/>
              <w:bottom w:val="outset" w:color="auto" w:sz="6" w:space="0"/>
              <w:right w:val="outset" w:color="auto" w:sz="6" w:space="0"/>
            </w:tcBorders>
            <w:noWrap w:val="0"/>
            <w:vAlign w:val="center"/>
          </w:tcPr>
          <w:p>
            <w:pPr>
              <w:ind w:firstLine="0" w:firstLineChars="0"/>
              <w:rPr>
                <w:color w:val="auto"/>
              </w:rPr>
            </w:pPr>
            <w:r>
              <w:rPr>
                <w:color w:val="auto"/>
              </w:rPr>
              <w:t>资格评审</w:t>
            </w:r>
          </w:p>
        </w:tc>
        <w:tc>
          <w:tcPr>
            <w:tcW w:w="0" w:type="auto"/>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r>
              <w:rPr>
                <w:color w:val="auto"/>
              </w:rPr>
              <w:t>营业执照</w:t>
            </w:r>
          </w:p>
        </w:tc>
        <w:tc>
          <w:tcPr>
            <w:tcW w:w="0" w:type="auto"/>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r>
              <w:rPr>
                <w:color w:val="auto"/>
              </w:rPr>
              <w:t>合法有效</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p>
        </w:tc>
        <w:tc>
          <w:tcPr>
            <w:tcW w:w="0" w:type="auto"/>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r>
              <w:rPr>
                <w:color w:val="auto"/>
              </w:rPr>
              <w:t>投标函</w:t>
            </w:r>
          </w:p>
        </w:tc>
        <w:tc>
          <w:tcPr>
            <w:tcW w:w="0" w:type="auto"/>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r>
              <w:rPr>
                <w:color w:val="auto"/>
              </w:rPr>
              <w:t>符合招标文件要求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p>
        </w:tc>
        <w:tc>
          <w:tcPr>
            <w:tcW w:w="0" w:type="auto"/>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r>
              <w:rPr>
                <w:color w:val="auto"/>
              </w:rPr>
              <w:t>法人授权委托书</w:t>
            </w:r>
          </w:p>
        </w:tc>
        <w:tc>
          <w:tcPr>
            <w:tcW w:w="0" w:type="auto"/>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r>
              <w:rPr>
                <w:color w:val="auto"/>
              </w:rPr>
              <w:t>符合招标文件要求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p>
        </w:tc>
        <w:tc>
          <w:tcPr>
            <w:tcW w:w="0" w:type="auto"/>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r>
              <w:rPr>
                <w:color w:val="auto"/>
              </w:rPr>
              <w:t>无重大违法行为声明</w:t>
            </w:r>
          </w:p>
        </w:tc>
        <w:tc>
          <w:tcPr>
            <w:tcW w:w="0" w:type="auto"/>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r>
              <w:rPr>
                <w:color w:val="auto"/>
              </w:rPr>
              <w:t>符合招标文件要求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p>
        </w:tc>
        <w:tc>
          <w:tcPr>
            <w:tcW w:w="0" w:type="auto"/>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r>
              <w:rPr>
                <w:color w:val="auto"/>
              </w:rPr>
              <w:t>授权委托人养老保险证明</w:t>
            </w:r>
          </w:p>
        </w:tc>
        <w:tc>
          <w:tcPr>
            <w:tcW w:w="0" w:type="auto"/>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r>
              <w:rPr>
                <w:color w:val="auto"/>
              </w:rPr>
              <w:t>投标人</w:t>
            </w:r>
            <w:r>
              <w:rPr>
                <w:rFonts w:hint="eastAsia"/>
                <w:color w:val="auto"/>
                <w:highlight w:val="none"/>
                <w:lang w:eastAsia="zh-CN"/>
              </w:rPr>
              <w:t>法定代表人</w:t>
            </w:r>
            <w:r>
              <w:rPr>
                <w:color w:val="auto"/>
              </w:rPr>
              <w:t>的授权委托人须为本单位人员，且在投标文件中提供20</w:t>
            </w:r>
            <w:r>
              <w:rPr>
                <w:rFonts w:hint="eastAsia"/>
                <w:color w:val="auto"/>
              </w:rPr>
              <w:t>20</w:t>
            </w:r>
            <w:r>
              <w:rPr>
                <w:color w:val="auto"/>
              </w:rPr>
              <w:t>年1月以来本单位为其办理的任意三个月养老保险证明，证明以投标人注册地养老保险管理部门出具的养老保险缴纳证明或社保网站查询结果加盖投标人公章为准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p>
        </w:tc>
        <w:tc>
          <w:tcPr>
            <w:tcW w:w="0" w:type="auto"/>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r>
              <w:rPr>
                <w:color w:val="auto"/>
              </w:rPr>
              <w:t>投标有效期</w:t>
            </w:r>
          </w:p>
        </w:tc>
        <w:tc>
          <w:tcPr>
            <w:tcW w:w="0" w:type="auto"/>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r>
              <w:rPr>
                <w:color w:val="auto"/>
              </w:rPr>
              <w:t>符合招标文件要求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p>
        </w:tc>
        <w:tc>
          <w:tcPr>
            <w:tcW w:w="0" w:type="auto"/>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r>
              <w:rPr>
                <w:color w:val="auto"/>
              </w:rPr>
              <w:t xml:space="preserve">投标报价 </w:t>
            </w:r>
          </w:p>
        </w:tc>
        <w:tc>
          <w:tcPr>
            <w:tcW w:w="0" w:type="auto"/>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r>
              <w:rPr>
                <w:color w:val="auto"/>
              </w:rPr>
              <w:t>符合招标文件要求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p>
        </w:tc>
        <w:tc>
          <w:tcPr>
            <w:tcW w:w="0" w:type="auto"/>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r>
              <w:rPr>
                <w:color w:val="auto"/>
              </w:rPr>
              <w:t>其他</w:t>
            </w:r>
          </w:p>
        </w:tc>
        <w:tc>
          <w:tcPr>
            <w:tcW w:w="0" w:type="auto"/>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r>
              <w:rPr>
                <w:color w:val="auto"/>
              </w:rPr>
              <w:t>符合招标文件其他要求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p>
        </w:tc>
        <w:tc>
          <w:tcPr>
            <w:tcW w:w="0" w:type="auto"/>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r>
              <w:rPr>
                <w:color w:val="auto"/>
              </w:rPr>
              <w:t>开标一览表</w:t>
            </w:r>
          </w:p>
        </w:tc>
        <w:tc>
          <w:tcPr>
            <w:tcW w:w="0" w:type="auto"/>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r>
              <w:rPr>
                <w:color w:val="auto"/>
              </w:rPr>
              <w:t>格式、填写要求符合招标文件规定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p>
        </w:tc>
        <w:tc>
          <w:tcPr>
            <w:tcW w:w="0" w:type="auto"/>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r>
              <w:rPr>
                <w:color w:val="auto"/>
              </w:rPr>
              <w:t>技术标准和要求</w:t>
            </w:r>
          </w:p>
        </w:tc>
        <w:tc>
          <w:tcPr>
            <w:tcW w:w="0" w:type="auto"/>
            <w:tcBorders>
              <w:top w:val="outset" w:color="auto" w:sz="6" w:space="0"/>
              <w:left w:val="outset" w:color="auto" w:sz="6" w:space="0"/>
              <w:bottom w:val="outset" w:color="auto" w:sz="6" w:space="0"/>
              <w:right w:val="outset" w:color="auto" w:sz="6" w:space="0"/>
            </w:tcBorders>
            <w:noWrap w:val="0"/>
            <w:vAlign w:val="center"/>
          </w:tcPr>
          <w:p>
            <w:pPr>
              <w:jc w:val="left"/>
              <w:rPr>
                <w:color w:val="auto"/>
              </w:rPr>
            </w:pPr>
            <w:r>
              <w:rPr>
                <w:color w:val="auto"/>
              </w:rPr>
              <w:t>符合招标文件要求</w:t>
            </w:r>
          </w:p>
        </w:tc>
      </w:tr>
    </w:tbl>
    <w:p>
      <w:pPr>
        <w:spacing w:line="500" w:lineRule="exact"/>
        <w:ind w:firstLine="480"/>
        <w:jc w:val="left"/>
        <w:rPr>
          <w:rFonts w:hint="eastAsia" w:eastAsia="仿宋_GB2312"/>
          <w:color w:val="auto"/>
          <w:sz w:val="24"/>
        </w:rPr>
      </w:pPr>
      <w:r>
        <w:rPr>
          <w:rFonts w:eastAsia="仿宋_GB2312"/>
          <w:color w:val="auto"/>
          <w:sz w:val="24"/>
          <w:highlight w:val="white"/>
        </w:rPr>
        <w:t>评标委员会按照招标文件规定的评分标准，对各投标文件进行详细评审打分。评标委员会组长对各评审专家的打分情况进行复核无误后汇总，形成评审报告。</w:t>
      </w:r>
    </w:p>
    <w:p>
      <w:pPr>
        <w:pStyle w:val="4"/>
        <w:snapToGrid w:val="0"/>
        <w:spacing w:before="0" w:after="0" w:line="360" w:lineRule="auto"/>
        <w:outlineLvl w:val="0"/>
        <w:rPr>
          <w:rFonts w:hint="eastAsia" w:ascii="宋体" w:hAnsi="宋体" w:cs="宋体"/>
          <w:color w:val="auto"/>
        </w:rPr>
      </w:pPr>
      <w:bookmarkStart w:id="172" w:name="_Toc47023096"/>
      <w:r>
        <w:rPr>
          <w:rFonts w:hint="eastAsia" w:ascii="宋体" w:hAnsi="宋体" w:cs="宋体"/>
          <w:color w:val="auto"/>
        </w:rPr>
        <w:t>1.评标方法</w:t>
      </w:r>
      <w:bookmarkEnd w:id="167"/>
      <w:bookmarkEnd w:id="168"/>
      <w:bookmarkEnd w:id="169"/>
      <w:bookmarkEnd w:id="170"/>
      <w:bookmarkEnd w:id="171"/>
      <w:bookmarkEnd w:id="172"/>
    </w:p>
    <w:p>
      <w:pPr>
        <w:rPr>
          <w:rFonts w:hint="eastAsia" w:ascii="宋体" w:hAnsi="宋体" w:cs="宋体"/>
          <w:color w:val="auto"/>
          <w:kern w:val="0"/>
        </w:rPr>
      </w:pPr>
      <w:r>
        <w:rPr>
          <w:rFonts w:hint="eastAsia" w:ascii="宋体" w:hAnsi="宋体" w:cs="宋体"/>
          <w:color w:val="auto"/>
          <w:kern w:val="0"/>
        </w:rPr>
        <w:t>本次评标采用综合评估法。评标委员会对满足招标文件实质性要求的投标文件，按照规定的</w:t>
      </w:r>
      <w:r>
        <w:rPr>
          <w:rFonts w:hint="eastAsia" w:ascii="宋体" w:hAnsi="宋体" w:cs="宋体"/>
          <w:color w:val="auto"/>
          <w:kern w:val="0"/>
          <w:lang w:val="en-US" w:eastAsia="zh-CN"/>
        </w:rPr>
        <w:t>评审</w:t>
      </w:r>
      <w:r>
        <w:rPr>
          <w:rFonts w:hint="eastAsia" w:ascii="宋体" w:hAnsi="宋体" w:cs="宋体"/>
          <w:color w:val="auto"/>
          <w:kern w:val="0"/>
        </w:rPr>
        <w:t>标准进行打分，并按得分由高到低顺序</w:t>
      </w:r>
      <w:r>
        <w:rPr>
          <w:rFonts w:hint="eastAsia" w:ascii="宋体" w:hAnsi="宋体" w:cs="宋体"/>
          <w:b/>
          <w:bCs/>
          <w:color w:val="auto"/>
          <w:kern w:val="0"/>
        </w:rPr>
        <w:t>推荐3名有排序的中标候选人</w:t>
      </w:r>
      <w:r>
        <w:rPr>
          <w:rFonts w:hint="eastAsia" w:ascii="宋体" w:hAnsi="宋体" w:cs="宋体"/>
          <w:color w:val="auto"/>
          <w:kern w:val="0"/>
        </w:rPr>
        <w:t>，但投标报价低于其成本的除外。综合评分相等时，以投标报价低的优先；投标报价也相等的，以技术得分高的优先；如果技术得分也相等，按照评标办法前附表的规定确定中标候选人顺序。</w:t>
      </w:r>
    </w:p>
    <w:p>
      <w:pPr>
        <w:pStyle w:val="4"/>
        <w:numPr>
          <w:ilvl w:val="0"/>
          <w:numId w:val="0"/>
        </w:numPr>
        <w:snapToGrid w:val="0"/>
        <w:spacing w:before="0" w:after="0" w:line="360" w:lineRule="auto"/>
        <w:jc w:val="center"/>
        <w:rPr>
          <w:rFonts w:hint="eastAsia" w:ascii="宋体" w:hAnsi="宋体" w:cs="宋体"/>
          <w:color w:val="auto"/>
        </w:rPr>
      </w:pPr>
      <w:r>
        <w:rPr>
          <w:rFonts w:hint="eastAsia" w:ascii="宋体" w:hAnsi="宋体" w:cs="宋体"/>
          <w:color w:val="auto"/>
          <w:lang w:val="en-US" w:eastAsia="zh-CN"/>
        </w:rPr>
        <w:t>2</w:t>
      </w:r>
      <w:r>
        <w:rPr>
          <w:rFonts w:hint="eastAsia" w:ascii="宋体" w:hAnsi="宋体" w:cs="宋体"/>
          <w:color w:val="auto"/>
        </w:rPr>
        <w:t>.评审标准</w:t>
      </w:r>
    </w:p>
    <w:tbl>
      <w:tblPr>
        <w:tblStyle w:val="30"/>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7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color w:val="auto"/>
                <w:sz w:val="24"/>
                <w:szCs w:val="24"/>
              </w:rPr>
            </w:pPr>
            <w:r>
              <w:rPr>
                <w:rFonts w:hint="eastAsia" w:ascii="宋体" w:hAnsi="宋体" w:cs="仿宋"/>
                <w:color w:val="auto"/>
                <w:sz w:val="24"/>
                <w:szCs w:val="24"/>
              </w:rPr>
              <w:t>项  目</w:t>
            </w:r>
          </w:p>
        </w:tc>
        <w:tc>
          <w:tcPr>
            <w:tcW w:w="7158"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hAnsi="宋体" w:cs="仿宋"/>
                <w:color w:val="auto"/>
                <w:sz w:val="24"/>
                <w:szCs w:val="24"/>
              </w:rPr>
            </w:pPr>
            <w:r>
              <w:rPr>
                <w:rFonts w:hint="eastAsia" w:ascii="宋体" w:hAnsi="宋体" w:cs="仿宋"/>
                <w:color w:val="auto"/>
                <w:sz w:val="24"/>
                <w:szCs w:val="24"/>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ascii="宋体" w:hAnsi="宋体" w:cs="仿宋"/>
                <w:color w:val="auto"/>
                <w:sz w:val="24"/>
                <w:szCs w:val="24"/>
              </w:rPr>
            </w:pPr>
            <w:r>
              <w:rPr>
                <w:rFonts w:hint="eastAsia" w:ascii="宋体" w:hAnsi="宋体" w:cs="仿宋"/>
                <w:b/>
                <w:color w:val="auto"/>
                <w:sz w:val="24"/>
                <w:szCs w:val="24"/>
                <w:lang w:val="en-US" w:eastAsia="zh-CN"/>
              </w:rPr>
              <w:t>报价</w:t>
            </w:r>
            <w:r>
              <w:rPr>
                <w:rFonts w:hint="eastAsia" w:ascii="宋体" w:hAnsi="宋体" w:cs="仿宋"/>
                <w:b/>
                <w:color w:val="auto"/>
                <w:sz w:val="24"/>
                <w:szCs w:val="24"/>
              </w:rPr>
              <w:t>（</w:t>
            </w:r>
            <w:r>
              <w:rPr>
                <w:rFonts w:hint="eastAsia" w:ascii="宋体" w:hAnsi="宋体" w:cs="仿宋"/>
                <w:b/>
                <w:color w:val="auto"/>
                <w:sz w:val="24"/>
                <w:szCs w:val="24"/>
                <w:lang w:val="en-US" w:eastAsia="zh-CN"/>
              </w:rPr>
              <w:t>4</w:t>
            </w:r>
            <w:r>
              <w:rPr>
                <w:rFonts w:hint="eastAsia" w:ascii="宋体" w:hAnsi="宋体" w:cs="仿宋"/>
                <w:b/>
                <w:color w:val="auto"/>
                <w:sz w:val="24"/>
                <w:szCs w:val="24"/>
              </w:rPr>
              <w:t>0分）</w:t>
            </w:r>
          </w:p>
        </w:tc>
        <w:tc>
          <w:tcPr>
            <w:tcW w:w="7158" w:type="dxa"/>
            <w:tcBorders>
              <w:top w:val="single" w:color="auto" w:sz="4" w:space="0"/>
              <w:left w:val="single" w:color="auto" w:sz="4" w:space="0"/>
              <w:bottom w:val="single" w:color="auto" w:sz="4" w:space="0"/>
              <w:right w:val="single" w:color="auto" w:sz="4" w:space="0"/>
            </w:tcBorders>
            <w:vAlign w:val="center"/>
          </w:tcPr>
          <w:p>
            <w:pPr>
              <w:spacing w:line="360" w:lineRule="exact"/>
              <w:ind w:left="420" w:hanging="315" w:hangingChars="150"/>
              <w:rPr>
                <w:rFonts w:hint="eastAsia"/>
                <w:color w:val="auto"/>
              </w:rPr>
            </w:pPr>
            <w:r>
              <w:rPr>
                <w:rFonts w:hint="eastAsia"/>
                <w:color w:val="auto"/>
              </w:rPr>
              <w:t>采用低价优先法计算，即满足招标文件要求且投标价格最低的投标报价为评标基准价，其价格分为满分。其他投标人的价格分按照下列公式计算（小数点</w:t>
            </w:r>
            <w:r>
              <w:rPr>
                <w:rFonts w:hint="eastAsia"/>
                <w:color w:val="auto"/>
                <w:highlight w:val="none"/>
                <w:lang w:eastAsia="zh-CN"/>
              </w:rPr>
              <w:t>保留两位</w:t>
            </w:r>
            <w:r>
              <w:rPr>
                <w:rFonts w:hint="eastAsia"/>
                <w:color w:val="auto"/>
              </w:rPr>
              <w:t>）。</w:t>
            </w:r>
          </w:p>
          <w:p>
            <w:pPr>
              <w:spacing w:line="360" w:lineRule="exact"/>
              <w:ind w:left="420" w:hanging="315" w:hangingChars="150"/>
              <w:rPr>
                <w:rFonts w:ascii="宋体" w:hAnsi="宋体" w:cs="仿宋"/>
                <w:color w:val="auto"/>
                <w:sz w:val="24"/>
                <w:szCs w:val="24"/>
              </w:rPr>
            </w:pPr>
            <w:r>
              <w:rPr>
                <w:rFonts w:hint="eastAsia"/>
                <w:color w:val="auto"/>
              </w:rPr>
              <w:t>投标报价得分=</w:t>
            </w:r>
            <w:r>
              <w:rPr>
                <w:rFonts w:hint="eastAsia"/>
                <w:color w:val="auto"/>
                <w:highlight w:val="none"/>
                <w:lang w:eastAsia="zh-CN"/>
              </w:rPr>
              <w:t>（</w:t>
            </w:r>
            <w:r>
              <w:rPr>
                <w:rFonts w:hint="eastAsia"/>
                <w:color w:val="auto"/>
              </w:rPr>
              <w:t>评标基准价／投标报价</w:t>
            </w:r>
            <w:r>
              <w:rPr>
                <w:rFonts w:hint="eastAsia"/>
                <w:color w:val="auto"/>
                <w:highlight w:val="none"/>
                <w:lang w:eastAsia="zh-CN"/>
              </w:rPr>
              <w:t>）</w:t>
            </w:r>
            <w:r>
              <w:rPr>
                <w:rFonts w:hint="eastAsia"/>
                <w:color w:val="auto"/>
              </w:rPr>
              <w:t>×</w:t>
            </w:r>
            <w:r>
              <w:rPr>
                <w:rFonts w:hint="eastAsia"/>
                <w:color w:val="auto"/>
                <w:lang w:val="en-US" w:eastAsia="zh-CN"/>
              </w:rPr>
              <w:t>4</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1581" w:type="dxa"/>
            <w:tcBorders>
              <w:top w:val="single" w:color="auto" w:sz="4" w:space="0"/>
              <w:left w:val="single" w:color="auto" w:sz="4" w:space="0"/>
              <w:right w:val="single" w:color="auto" w:sz="4" w:space="0"/>
            </w:tcBorders>
            <w:vAlign w:val="center"/>
          </w:tcPr>
          <w:p>
            <w:pPr>
              <w:spacing w:line="360" w:lineRule="exact"/>
              <w:ind w:left="0" w:leftChars="0" w:firstLine="0" w:firstLineChars="0"/>
              <w:jc w:val="both"/>
              <w:rPr>
                <w:rFonts w:hint="eastAsia" w:ascii="宋体" w:hAnsi="宋体" w:cs="仿宋"/>
                <w:b/>
                <w:color w:val="auto"/>
                <w:sz w:val="24"/>
                <w:szCs w:val="24"/>
              </w:rPr>
            </w:pPr>
            <w:r>
              <w:rPr>
                <w:rFonts w:hint="eastAsia" w:ascii="宋体" w:hAnsi="宋体" w:cs="仿宋"/>
                <w:b/>
                <w:color w:val="auto"/>
                <w:sz w:val="24"/>
                <w:szCs w:val="24"/>
                <w:lang w:val="en-US" w:eastAsia="zh-CN"/>
              </w:rPr>
              <w:t>商务</w:t>
            </w:r>
            <w:r>
              <w:rPr>
                <w:rFonts w:hint="eastAsia" w:ascii="宋体" w:hAnsi="宋体" w:cs="仿宋"/>
                <w:b/>
                <w:color w:val="auto"/>
                <w:sz w:val="24"/>
                <w:szCs w:val="24"/>
              </w:rPr>
              <w:t>（</w:t>
            </w:r>
            <w:r>
              <w:rPr>
                <w:rFonts w:hint="eastAsia" w:ascii="宋体" w:hAnsi="宋体" w:cs="仿宋"/>
                <w:b/>
                <w:color w:val="auto"/>
                <w:sz w:val="24"/>
                <w:szCs w:val="24"/>
                <w:lang w:val="en-US" w:eastAsia="zh-CN"/>
              </w:rPr>
              <w:t>33</w:t>
            </w:r>
            <w:r>
              <w:rPr>
                <w:rFonts w:hint="eastAsia" w:ascii="宋体" w:hAnsi="宋体" w:cs="仿宋"/>
                <w:b/>
                <w:color w:val="auto"/>
                <w:sz w:val="24"/>
                <w:szCs w:val="24"/>
              </w:rPr>
              <w:t>分）</w:t>
            </w:r>
          </w:p>
          <w:p>
            <w:pPr>
              <w:spacing w:line="360" w:lineRule="exact"/>
              <w:jc w:val="center"/>
              <w:rPr>
                <w:rFonts w:ascii="宋体" w:hAnsi="宋体" w:cs="仿宋"/>
                <w:b/>
                <w:color w:val="auto"/>
                <w:sz w:val="24"/>
                <w:szCs w:val="24"/>
              </w:rPr>
            </w:pPr>
          </w:p>
        </w:tc>
        <w:tc>
          <w:tcPr>
            <w:tcW w:w="71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0" w:leftChars="0" w:firstLine="0" w:firstLineChars="0"/>
              <w:rPr>
                <w:rFonts w:hint="default"/>
                <w:color w:val="auto"/>
                <w:lang w:val="en-US" w:eastAsia="zh-CN"/>
              </w:rPr>
            </w:pPr>
            <w:r>
              <w:rPr>
                <w:rFonts w:hint="eastAsia"/>
                <w:color w:val="auto"/>
                <w:lang w:val="en-US" w:eastAsia="zh-CN"/>
              </w:rPr>
              <w:t>一、投标人资质（17分）</w:t>
            </w:r>
          </w:p>
          <w:p>
            <w:pPr>
              <w:adjustRightInd w:val="0"/>
              <w:snapToGrid w:val="0"/>
              <w:spacing w:line="360" w:lineRule="auto"/>
              <w:ind w:left="0" w:leftChars="0" w:firstLine="0" w:firstLineChars="0"/>
              <w:rPr>
                <w:rFonts w:hint="eastAsia"/>
                <w:color w:val="auto"/>
                <w:lang w:eastAsia="zh-CN"/>
              </w:rPr>
            </w:pPr>
            <w:r>
              <w:rPr>
                <w:rFonts w:hint="eastAsia"/>
                <w:color w:val="auto"/>
                <w:lang w:val="en-US" w:eastAsia="zh-CN"/>
              </w:rPr>
              <w:t>1</w:t>
            </w:r>
            <w:r>
              <w:rPr>
                <w:rFonts w:hint="eastAsia"/>
                <w:color w:val="auto"/>
              </w:rPr>
              <w:t>、投标人具有</w:t>
            </w:r>
            <w:r>
              <w:rPr>
                <w:rFonts w:hint="eastAsia"/>
                <w:color w:val="auto"/>
                <w:lang w:val="en-US" w:eastAsia="zh-CN"/>
              </w:rPr>
              <w:t>CMMI3及以上</w:t>
            </w:r>
            <w:r>
              <w:rPr>
                <w:rFonts w:hint="eastAsia"/>
                <w:color w:val="auto"/>
              </w:rPr>
              <w:t>的得</w:t>
            </w:r>
            <w:r>
              <w:rPr>
                <w:rFonts w:hint="eastAsia"/>
                <w:color w:val="auto"/>
                <w:lang w:val="en-US" w:eastAsia="zh-CN"/>
              </w:rPr>
              <w:t>3</w:t>
            </w:r>
            <w:r>
              <w:rPr>
                <w:rFonts w:hint="eastAsia"/>
                <w:color w:val="auto"/>
              </w:rPr>
              <w:t>分</w:t>
            </w:r>
            <w:r>
              <w:rPr>
                <w:rFonts w:hint="eastAsia"/>
                <w:color w:val="auto"/>
                <w:lang w:eastAsia="zh-CN"/>
              </w:rPr>
              <w:t>；</w:t>
            </w:r>
          </w:p>
          <w:p>
            <w:pPr>
              <w:adjustRightInd w:val="0"/>
              <w:snapToGrid w:val="0"/>
              <w:spacing w:line="360" w:lineRule="auto"/>
              <w:ind w:left="0" w:leftChars="0" w:firstLine="0" w:firstLineChars="0"/>
              <w:rPr>
                <w:rFonts w:hint="eastAsia"/>
                <w:color w:val="auto"/>
              </w:rPr>
            </w:pPr>
            <w:r>
              <w:rPr>
                <w:rFonts w:hint="eastAsia"/>
                <w:color w:val="auto"/>
                <w:lang w:val="en-US" w:eastAsia="zh-CN"/>
              </w:rPr>
              <w:t>2</w:t>
            </w:r>
            <w:r>
              <w:rPr>
                <w:rFonts w:hint="eastAsia"/>
                <w:color w:val="auto"/>
              </w:rPr>
              <w:t>、投标人具有ISO/IEC20000信息技术服务管理体系认证证书的，得</w:t>
            </w:r>
            <w:r>
              <w:rPr>
                <w:rFonts w:hint="eastAsia"/>
                <w:color w:val="auto"/>
                <w:lang w:val="en-US" w:eastAsia="zh-CN"/>
              </w:rPr>
              <w:t>3</w:t>
            </w:r>
            <w:r>
              <w:rPr>
                <w:rFonts w:hint="eastAsia"/>
                <w:color w:val="auto"/>
              </w:rPr>
              <w:t>分；</w:t>
            </w:r>
          </w:p>
          <w:p>
            <w:pPr>
              <w:adjustRightInd w:val="0"/>
              <w:snapToGrid w:val="0"/>
              <w:spacing w:line="360" w:lineRule="auto"/>
              <w:ind w:left="0" w:leftChars="0" w:firstLine="0" w:firstLineChars="0"/>
              <w:rPr>
                <w:rFonts w:hint="eastAsia"/>
                <w:color w:val="auto"/>
              </w:rPr>
            </w:pPr>
            <w:r>
              <w:rPr>
                <w:rFonts w:hint="eastAsia"/>
                <w:color w:val="auto"/>
                <w:lang w:val="en-US" w:eastAsia="zh-CN"/>
              </w:rPr>
              <w:t>3</w:t>
            </w:r>
            <w:r>
              <w:rPr>
                <w:rFonts w:hint="eastAsia"/>
                <w:color w:val="auto"/>
              </w:rPr>
              <w:t>、投标人具有 ITSS 信息技术服务咨询设计标准符合性证书的，得</w:t>
            </w:r>
            <w:r>
              <w:rPr>
                <w:rFonts w:hint="eastAsia"/>
                <w:color w:val="auto"/>
                <w:lang w:val="en-US" w:eastAsia="zh-CN"/>
              </w:rPr>
              <w:t>3</w:t>
            </w:r>
            <w:r>
              <w:rPr>
                <w:rFonts w:hint="eastAsia"/>
                <w:color w:val="auto"/>
              </w:rPr>
              <w:t>分；</w:t>
            </w:r>
          </w:p>
          <w:p>
            <w:pPr>
              <w:adjustRightInd w:val="0"/>
              <w:snapToGrid w:val="0"/>
              <w:spacing w:line="360" w:lineRule="auto"/>
              <w:ind w:left="0" w:leftChars="0" w:firstLine="0" w:firstLineChars="0"/>
              <w:rPr>
                <w:rFonts w:hint="eastAsia"/>
                <w:color w:val="auto"/>
              </w:rPr>
            </w:pPr>
            <w:r>
              <w:rPr>
                <w:rFonts w:hint="eastAsia"/>
                <w:color w:val="auto"/>
                <w:lang w:val="en-US" w:eastAsia="zh-CN"/>
              </w:rPr>
              <w:t>4</w:t>
            </w:r>
            <w:r>
              <w:rPr>
                <w:rFonts w:hint="eastAsia"/>
                <w:color w:val="auto"/>
              </w:rPr>
              <w:t>、投标人具有ISO27001信息安全体系证书的，得</w:t>
            </w:r>
            <w:r>
              <w:rPr>
                <w:rFonts w:hint="eastAsia"/>
                <w:color w:val="auto"/>
                <w:lang w:val="en-US" w:eastAsia="zh-CN"/>
              </w:rPr>
              <w:t>3</w:t>
            </w:r>
            <w:r>
              <w:rPr>
                <w:rFonts w:hint="eastAsia"/>
                <w:color w:val="auto"/>
              </w:rPr>
              <w:t>分；</w:t>
            </w:r>
          </w:p>
          <w:p>
            <w:pPr>
              <w:adjustRightInd w:val="0"/>
              <w:snapToGrid w:val="0"/>
              <w:spacing w:line="360" w:lineRule="auto"/>
              <w:ind w:left="0" w:leftChars="0" w:firstLine="0" w:firstLineChars="0"/>
              <w:rPr>
                <w:rFonts w:hint="eastAsia"/>
                <w:color w:val="auto"/>
              </w:rPr>
            </w:pPr>
            <w:r>
              <w:rPr>
                <w:rFonts w:hint="eastAsia"/>
                <w:color w:val="auto"/>
              </w:rPr>
              <w:t>说明：</w:t>
            </w:r>
            <w:r>
              <w:rPr>
                <w:rFonts w:hint="eastAsia"/>
                <w:color w:val="auto"/>
                <w:lang w:val="en-US" w:eastAsia="zh-CN"/>
              </w:rPr>
              <w:t>以上</w:t>
            </w:r>
            <w:r>
              <w:rPr>
                <w:rFonts w:hint="eastAsia"/>
                <w:color w:val="auto"/>
              </w:rPr>
              <w:t>以投标文件中提供的相关证书复印件为评审依据，复印件加盖公章。</w:t>
            </w:r>
          </w:p>
          <w:p>
            <w:pPr>
              <w:adjustRightInd w:val="0"/>
              <w:snapToGrid w:val="0"/>
              <w:spacing w:line="360" w:lineRule="auto"/>
              <w:ind w:left="0" w:leftChars="0" w:firstLine="0" w:firstLineChars="0"/>
              <w:rPr>
                <w:rFonts w:hint="eastAsia"/>
                <w:color w:val="auto"/>
                <w:lang w:val="en-US" w:eastAsia="zh-CN"/>
              </w:rPr>
            </w:pPr>
            <w:r>
              <w:rPr>
                <w:rFonts w:hint="eastAsia"/>
                <w:color w:val="auto"/>
                <w:lang w:val="en-US" w:eastAsia="zh-CN"/>
              </w:rPr>
              <w:t>5、投标人自 2017 年9月 1 日以来承担过类似项目案例，每有 1 个得 1 分，最高得 5分。</w:t>
            </w:r>
          </w:p>
          <w:p>
            <w:pPr>
              <w:adjustRightInd w:val="0"/>
              <w:snapToGrid w:val="0"/>
              <w:spacing w:line="360" w:lineRule="auto"/>
              <w:ind w:left="0" w:leftChars="0" w:firstLine="0" w:firstLineChars="0"/>
              <w:rPr>
                <w:rFonts w:hint="eastAsia"/>
                <w:color w:val="auto"/>
                <w:lang w:val="en-US" w:eastAsia="zh-CN"/>
              </w:rPr>
            </w:pPr>
            <w:r>
              <w:rPr>
                <w:rFonts w:hint="eastAsia"/>
                <w:color w:val="auto"/>
                <w:lang w:val="en-US" w:eastAsia="zh-CN"/>
              </w:rPr>
              <w:t>说明：需提供中标通知书或合同复印件为评审依据，复印件加盖公章。</w:t>
            </w:r>
          </w:p>
          <w:p>
            <w:pPr>
              <w:adjustRightInd w:val="0"/>
              <w:snapToGrid w:val="0"/>
              <w:spacing w:line="360" w:lineRule="auto"/>
              <w:ind w:left="0" w:leftChars="0" w:firstLine="0" w:firstLineChars="0"/>
              <w:rPr>
                <w:rFonts w:hint="eastAsia"/>
                <w:color w:val="auto"/>
                <w:lang w:val="en-US" w:eastAsia="zh-CN"/>
              </w:rPr>
            </w:pPr>
            <w:r>
              <w:rPr>
                <w:rFonts w:hint="eastAsia"/>
                <w:color w:val="auto"/>
                <w:lang w:val="en-US" w:eastAsia="zh-CN"/>
              </w:rPr>
              <w:t>二、项目服务（16分）；</w:t>
            </w:r>
          </w:p>
          <w:p>
            <w:pPr>
              <w:adjustRightInd w:val="0"/>
              <w:snapToGrid w:val="0"/>
              <w:spacing w:line="360" w:lineRule="auto"/>
              <w:ind w:left="0" w:leftChars="0" w:firstLine="0" w:firstLineChars="0"/>
              <w:rPr>
                <w:rFonts w:hint="default"/>
                <w:color w:val="auto"/>
                <w:lang w:val="en-US" w:eastAsia="zh-CN"/>
              </w:rPr>
            </w:pPr>
            <w:r>
              <w:rPr>
                <w:rFonts w:hint="eastAsia"/>
                <w:color w:val="auto"/>
                <w:lang w:val="en-US" w:eastAsia="zh-CN"/>
              </w:rPr>
              <w:t>1、免费维护服务（5分）：项目验收后投标人提供不少于3年的免费维护服务（3分），每增加一年加1分，最多加2分（须提供承诺函）；</w:t>
            </w:r>
          </w:p>
          <w:p>
            <w:pPr>
              <w:adjustRightInd w:val="0"/>
              <w:snapToGrid w:val="0"/>
              <w:spacing w:line="360" w:lineRule="auto"/>
              <w:ind w:left="0" w:leftChars="0" w:firstLine="0" w:firstLineChars="0"/>
              <w:rPr>
                <w:rFonts w:hint="eastAsia"/>
                <w:color w:val="auto"/>
                <w:lang w:eastAsia="zh-CN"/>
              </w:rPr>
            </w:pPr>
            <w:r>
              <w:rPr>
                <w:rFonts w:hint="eastAsia"/>
                <w:color w:val="auto"/>
                <w:lang w:val="en-US" w:eastAsia="zh-CN"/>
              </w:rPr>
              <w:t>2、现场开发</w:t>
            </w:r>
            <w:r>
              <w:rPr>
                <w:rFonts w:hint="eastAsia"/>
                <w:color w:val="auto"/>
              </w:rPr>
              <w:t>（</w:t>
            </w:r>
            <w:r>
              <w:rPr>
                <w:rFonts w:hint="eastAsia"/>
                <w:color w:val="auto"/>
                <w:lang w:val="en-US" w:eastAsia="zh-CN"/>
              </w:rPr>
              <w:t>2</w:t>
            </w:r>
            <w:r>
              <w:rPr>
                <w:rFonts w:hint="eastAsia"/>
                <w:color w:val="auto"/>
              </w:rPr>
              <w:t>分）：</w:t>
            </w:r>
            <w:r>
              <w:rPr>
                <w:rFonts w:hint="eastAsia"/>
                <w:color w:val="auto"/>
                <w:highlight w:val="none"/>
              </w:rPr>
              <w:t>投标人承诺</w:t>
            </w:r>
            <w:r>
              <w:rPr>
                <w:rFonts w:hint="eastAsia"/>
                <w:color w:val="auto"/>
                <w:highlight w:val="none"/>
                <w:lang w:val="en-US" w:eastAsia="zh-CN"/>
              </w:rPr>
              <w:t>2个月现场开发</w:t>
            </w:r>
            <w:r>
              <w:rPr>
                <w:rFonts w:hint="eastAsia"/>
                <w:color w:val="auto"/>
                <w:highlight w:val="none"/>
              </w:rPr>
              <w:t>工程师进行</w:t>
            </w:r>
            <w:r>
              <w:rPr>
                <w:rFonts w:hint="eastAsia"/>
                <w:color w:val="auto"/>
                <w:highlight w:val="none"/>
                <w:lang w:val="en-US" w:eastAsia="zh-CN"/>
              </w:rPr>
              <w:t>驻场</w:t>
            </w:r>
            <w:r>
              <w:rPr>
                <w:rFonts w:hint="eastAsia"/>
                <w:color w:val="auto"/>
                <w:highlight w:val="none"/>
              </w:rPr>
              <w:t>服务，每提供1名得1分，最高2分（</w:t>
            </w:r>
            <w:r>
              <w:rPr>
                <w:rFonts w:hint="eastAsia"/>
                <w:color w:val="auto"/>
              </w:rPr>
              <w:t>须提供承诺函）</w:t>
            </w:r>
            <w:r>
              <w:rPr>
                <w:rFonts w:hint="eastAsia"/>
                <w:color w:val="auto"/>
                <w:lang w:eastAsia="zh-CN"/>
              </w:rPr>
              <w:t>；</w:t>
            </w:r>
          </w:p>
          <w:p>
            <w:pPr>
              <w:adjustRightInd w:val="0"/>
              <w:snapToGrid w:val="0"/>
              <w:spacing w:line="360" w:lineRule="auto"/>
              <w:ind w:left="0" w:leftChars="0" w:firstLine="0" w:firstLineChars="0"/>
              <w:rPr>
                <w:rFonts w:hint="eastAsia"/>
                <w:color w:val="auto"/>
                <w:lang w:val="en-US" w:eastAsia="zh-CN"/>
              </w:rPr>
            </w:pPr>
            <w:r>
              <w:rPr>
                <w:rFonts w:hint="eastAsia"/>
                <w:color w:val="auto"/>
                <w:lang w:val="en-US" w:eastAsia="zh-CN"/>
              </w:rPr>
              <w:t>3、项目经理具备项目管理师或PMP证书得（3分），无得0分（需提供本单位缴纳社保证明（近一年）</w:t>
            </w:r>
          </w:p>
          <w:p>
            <w:pPr>
              <w:adjustRightInd w:val="0"/>
              <w:snapToGrid w:val="0"/>
              <w:spacing w:line="360" w:lineRule="auto"/>
              <w:ind w:left="0" w:leftChars="0" w:firstLine="0" w:firstLineChars="0"/>
              <w:rPr>
                <w:rFonts w:hint="eastAsia"/>
                <w:color w:val="auto"/>
              </w:rPr>
            </w:pPr>
            <w:r>
              <w:rPr>
                <w:rFonts w:hint="eastAsia"/>
                <w:color w:val="auto"/>
                <w:lang w:val="en-US" w:eastAsia="zh-CN"/>
              </w:rPr>
              <w:t>4、</w:t>
            </w:r>
            <w:r>
              <w:rPr>
                <w:rFonts w:hint="eastAsia"/>
                <w:color w:val="auto"/>
              </w:rPr>
              <w:t>项目培训（</w:t>
            </w:r>
            <w:r>
              <w:rPr>
                <w:rFonts w:hint="eastAsia"/>
                <w:color w:val="auto"/>
                <w:lang w:val="en-US" w:eastAsia="zh-CN"/>
              </w:rPr>
              <w:t>3</w:t>
            </w:r>
            <w:r>
              <w:rPr>
                <w:rFonts w:hint="eastAsia"/>
                <w:color w:val="auto"/>
              </w:rPr>
              <w:t>分）：投标人承诺为</w:t>
            </w:r>
            <w:r>
              <w:rPr>
                <w:rFonts w:hint="eastAsia"/>
                <w:color w:val="auto"/>
                <w:lang w:val="en-US" w:eastAsia="zh-CN"/>
              </w:rPr>
              <w:t>建设</w:t>
            </w:r>
            <w:r>
              <w:rPr>
                <w:rFonts w:hint="eastAsia"/>
                <w:color w:val="auto"/>
              </w:rPr>
              <w:t>方培养1-2名业务平台开发</w:t>
            </w:r>
            <w:r>
              <w:rPr>
                <w:rFonts w:hint="eastAsia"/>
                <w:color w:val="auto"/>
                <w:lang w:eastAsia="zh-CN"/>
              </w:rPr>
              <w:t>运维</w:t>
            </w:r>
            <w:r>
              <w:rPr>
                <w:rFonts w:hint="eastAsia"/>
                <w:color w:val="auto"/>
              </w:rPr>
              <w:t>人员的得</w:t>
            </w:r>
            <w:r>
              <w:rPr>
                <w:rFonts w:hint="eastAsia"/>
                <w:color w:val="auto"/>
                <w:lang w:val="en-US" w:eastAsia="zh-CN"/>
              </w:rPr>
              <w:t>3</w:t>
            </w:r>
            <w:r>
              <w:rPr>
                <w:rFonts w:hint="eastAsia"/>
                <w:color w:val="auto"/>
              </w:rPr>
              <w:t>分（须提供承诺函）。</w:t>
            </w:r>
          </w:p>
          <w:p>
            <w:pPr>
              <w:adjustRightInd w:val="0"/>
              <w:snapToGrid w:val="0"/>
              <w:ind w:left="0" w:leftChars="0" w:firstLine="0" w:firstLineChars="0"/>
              <w:rPr>
                <w:rFonts w:hint="default"/>
                <w:color w:val="auto"/>
                <w:lang w:val="en-US" w:eastAsia="zh-CN"/>
              </w:rPr>
            </w:pPr>
            <w:r>
              <w:rPr>
                <w:rFonts w:hint="eastAsia"/>
                <w:color w:val="auto"/>
                <w:lang w:val="en-US" w:eastAsia="zh-CN"/>
              </w:rPr>
              <w:t xml:space="preserve">5、在扬州本地注册或设有分支机构得3分，否则不得分；（需提供营业执照复印件并加盖投标单位公章）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rFonts w:ascii="宋体" w:hAnsi="宋体" w:cs="仿宋"/>
                <w:color w:val="auto"/>
                <w:sz w:val="24"/>
                <w:szCs w:val="24"/>
              </w:rPr>
            </w:pPr>
            <w:r>
              <w:rPr>
                <w:rFonts w:hint="eastAsia" w:ascii="宋体" w:hAnsi="宋体" w:cs="仿宋"/>
                <w:b/>
                <w:color w:val="auto"/>
                <w:sz w:val="24"/>
                <w:szCs w:val="24"/>
                <w:lang w:val="en-US" w:eastAsia="zh-CN"/>
              </w:rPr>
              <w:t>技术</w:t>
            </w:r>
            <w:r>
              <w:rPr>
                <w:rFonts w:hint="eastAsia" w:ascii="宋体" w:hAnsi="宋体" w:cs="仿宋"/>
                <w:b/>
                <w:color w:val="auto"/>
                <w:sz w:val="24"/>
                <w:szCs w:val="24"/>
              </w:rPr>
              <w:t>（</w:t>
            </w:r>
            <w:r>
              <w:rPr>
                <w:rFonts w:hint="eastAsia" w:ascii="宋体" w:hAnsi="宋体" w:cs="仿宋"/>
                <w:b/>
                <w:color w:val="auto"/>
                <w:sz w:val="24"/>
                <w:szCs w:val="24"/>
                <w:lang w:val="en-US" w:eastAsia="zh-CN"/>
              </w:rPr>
              <w:t>27</w:t>
            </w:r>
            <w:r>
              <w:rPr>
                <w:rFonts w:hint="eastAsia" w:ascii="宋体" w:hAnsi="宋体" w:cs="仿宋"/>
                <w:b/>
                <w:color w:val="auto"/>
                <w:sz w:val="24"/>
                <w:szCs w:val="24"/>
              </w:rPr>
              <w:t>分）</w:t>
            </w:r>
          </w:p>
        </w:tc>
        <w:tc>
          <w:tcPr>
            <w:tcW w:w="7158"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hint="eastAsia" w:ascii="Calibri" w:hAnsi="Calibri"/>
                <w:color w:val="auto"/>
                <w:kern w:val="2"/>
                <w:sz w:val="21"/>
                <w:szCs w:val="22"/>
                <w:lang w:val="en-US" w:eastAsia="zh-CN" w:bidi="ar-SA"/>
              </w:rPr>
            </w:pPr>
            <w:r>
              <w:rPr>
                <w:rFonts w:hint="eastAsia" w:ascii="Calibri" w:hAnsi="Calibri"/>
                <w:color w:val="auto"/>
                <w:kern w:val="2"/>
                <w:sz w:val="21"/>
                <w:szCs w:val="22"/>
                <w:lang w:val="en-US" w:eastAsia="zh-CN" w:bidi="ar-SA"/>
              </w:rPr>
              <w:t xml:space="preserve"> 一、技术方案（15分）；</w:t>
            </w:r>
          </w:p>
          <w:p>
            <w:pPr>
              <w:pStyle w:val="2"/>
              <w:ind w:left="0" w:leftChars="0" w:firstLine="0" w:firstLineChars="0"/>
              <w:rPr>
                <w:rFonts w:hint="eastAsia" w:ascii="Calibri" w:hAnsi="Calibri"/>
                <w:color w:val="auto"/>
                <w:kern w:val="2"/>
                <w:sz w:val="21"/>
                <w:szCs w:val="22"/>
                <w:lang w:val="en-US" w:eastAsia="zh-CN" w:bidi="ar-SA"/>
              </w:rPr>
            </w:pPr>
            <w:r>
              <w:rPr>
                <w:rFonts w:hint="eastAsia" w:ascii="Calibri" w:hAnsi="Calibri"/>
                <w:color w:val="auto"/>
                <w:kern w:val="2"/>
                <w:sz w:val="21"/>
                <w:szCs w:val="22"/>
                <w:lang w:val="en-US" w:eastAsia="zh-CN" w:bidi="ar-SA"/>
              </w:rPr>
              <w:t>1、总体方案：根据投标人总体方案的合理性、先进性、可扩展性和是否满足采购人需求等多方面进行综合评定打分。</w:t>
            </w:r>
            <w:r>
              <w:rPr>
                <w:rFonts w:hint="eastAsia" w:ascii="Calibri" w:hAnsi="Calibri"/>
                <w:color w:val="auto"/>
                <w:kern w:val="2"/>
                <w:sz w:val="21"/>
                <w:szCs w:val="22"/>
                <w:highlight w:val="none"/>
                <w:lang w:val="en-US" w:eastAsia="zh-CN" w:bidi="ar-SA"/>
              </w:rPr>
              <w:t>优秀得</w:t>
            </w:r>
            <w:r>
              <w:rPr>
                <w:rFonts w:hint="eastAsia" w:ascii="Calibri" w:hAnsi="Calibri"/>
                <w:color w:val="auto"/>
                <w:kern w:val="2"/>
                <w:sz w:val="21"/>
                <w:szCs w:val="22"/>
                <w:lang w:val="en-US" w:eastAsia="zh-CN" w:bidi="ar-SA"/>
              </w:rPr>
              <w:t>8－10分，</w:t>
            </w:r>
            <w:r>
              <w:rPr>
                <w:rFonts w:hint="eastAsia" w:ascii="Calibri" w:hAnsi="Calibri"/>
                <w:color w:val="auto"/>
                <w:kern w:val="2"/>
                <w:sz w:val="21"/>
                <w:szCs w:val="22"/>
                <w:highlight w:val="none"/>
                <w:lang w:val="en-US" w:eastAsia="zh-CN" w:bidi="ar-SA"/>
              </w:rPr>
              <w:t>良好得</w:t>
            </w:r>
            <w:r>
              <w:rPr>
                <w:rFonts w:hint="eastAsia" w:ascii="Calibri" w:hAnsi="Calibri"/>
                <w:color w:val="auto"/>
                <w:kern w:val="2"/>
                <w:sz w:val="21"/>
                <w:szCs w:val="22"/>
                <w:lang w:val="en-US" w:eastAsia="zh-CN" w:bidi="ar-SA"/>
              </w:rPr>
              <w:t>5－7分，普通得1－4分。</w:t>
            </w:r>
          </w:p>
          <w:p>
            <w:pPr>
              <w:pStyle w:val="2"/>
              <w:ind w:left="0" w:leftChars="0" w:firstLine="0" w:firstLineChars="0"/>
              <w:rPr>
                <w:rFonts w:hint="eastAsia" w:ascii="Calibri" w:hAnsi="Calibri" w:cs="Times New Roman"/>
                <w:color w:val="auto"/>
                <w:kern w:val="2"/>
                <w:sz w:val="21"/>
                <w:szCs w:val="22"/>
                <w:lang w:val="en-US" w:eastAsia="zh-CN" w:bidi="ar-SA"/>
              </w:rPr>
            </w:pPr>
            <w:r>
              <w:rPr>
                <w:rFonts w:hint="eastAsia" w:ascii="Calibri" w:hAnsi="Calibri" w:cs="Times New Roman"/>
                <w:color w:val="auto"/>
                <w:kern w:val="2"/>
                <w:sz w:val="21"/>
                <w:szCs w:val="22"/>
                <w:lang w:val="en-US" w:eastAsia="zh-CN" w:bidi="ar-SA"/>
              </w:rPr>
              <w:t>2、项目管理：进度安排合理，团队架构清晰，分工明确，能满足项目建设需求的得5分，部分满足得3分，</w:t>
            </w:r>
            <w:r>
              <w:rPr>
                <w:rFonts w:hint="eastAsia" w:ascii="Calibri" w:hAnsi="Calibri" w:cs="Times New Roman"/>
                <w:color w:val="auto"/>
                <w:kern w:val="2"/>
                <w:sz w:val="21"/>
                <w:szCs w:val="22"/>
                <w:highlight w:val="none"/>
                <w:lang w:val="en-US" w:eastAsia="zh-CN" w:bidi="ar-SA"/>
              </w:rPr>
              <w:t>其它</w:t>
            </w:r>
            <w:r>
              <w:rPr>
                <w:rFonts w:hint="eastAsia" w:ascii="Calibri" w:hAnsi="Calibri" w:cs="Times New Roman"/>
                <w:color w:val="auto"/>
                <w:kern w:val="2"/>
                <w:sz w:val="21"/>
                <w:szCs w:val="22"/>
                <w:lang w:val="en-US" w:eastAsia="zh-CN" w:bidi="ar-SA"/>
              </w:rPr>
              <w:t>得1分。</w:t>
            </w:r>
          </w:p>
          <w:p>
            <w:pPr>
              <w:numPr>
                <w:ilvl w:val="0"/>
                <w:numId w:val="0"/>
              </w:numPr>
              <w:adjustRightInd w:val="0"/>
              <w:snapToGrid w:val="0"/>
              <w:spacing w:line="360" w:lineRule="auto"/>
              <w:rPr>
                <w:rFonts w:hint="eastAsia" w:ascii="宋体" w:hAnsi="宋体" w:cs="宋体"/>
                <w:color w:val="auto"/>
                <w:lang w:eastAsia="zh-CN"/>
              </w:rPr>
            </w:pPr>
            <w:r>
              <w:rPr>
                <w:rFonts w:hint="eastAsia" w:ascii="宋体" w:hAnsi="宋体" w:cs="宋体"/>
                <w:color w:val="auto"/>
                <w:lang w:val="en-US" w:eastAsia="zh-CN"/>
              </w:rPr>
              <w:t>二、现场演示</w:t>
            </w:r>
            <w:r>
              <w:rPr>
                <w:rFonts w:hint="eastAsia" w:ascii="宋体" w:hAnsi="宋体" w:cs="宋体"/>
                <w:color w:val="auto"/>
              </w:rPr>
              <w:t>（</w:t>
            </w:r>
            <w:r>
              <w:rPr>
                <w:rFonts w:hint="eastAsia" w:ascii="宋体" w:hAnsi="宋体" w:cs="宋体"/>
                <w:color w:val="auto"/>
                <w:lang w:val="en-US" w:eastAsia="zh-CN"/>
              </w:rPr>
              <w:t>6</w:t>
            </w:r>
            <w:r>
              <w:rPr>
                <w:rFonts w:hint="eastAsia" w:ascii="宋体" w:hAnsi="宋体" w:cs="宋体"/>
                <w:color w:val="auto"/>
              </w:rPr>
              <w:t>分）</w:t>
            </w:r>
          </w:p>
          <w:p>
            <w:pPr>
              <w:pStyle w:val="2"/>
              <w:ind w:left="0" w:leftChars="0" w:firstLine="0" w:firstLineChars="0"/>
              <w:rPr>
                <w:rFonts w:hint="eastAsia" w:ascii="Calibri" w:hAnsi="Calibri" w:cs="Times New Roman"/>
                <w:color w:val="auto"/>
                <w:kern w:val="2"/>
                <w:sz w:val="21"/>
                <w:szCs w:val="22"/>
                <w:lang w:val="en-US" w:eastAsia="zh-CN" w:bidi="ar-SA"/>
              </w:rPr>
            </w:pPr>
            <w:r>
              <w:rPr>
                <w:rFonts w:hint="eastAsia" w:ascii="Calibri" w:hAnsi="Calibri" w:cs="Times New Roman"/>
                <w:color w:val="auto"/>
                <w:kern w:val="2"/>
                <w:sz w:val="21"/>
                <w:szCs w:val="22"/>
                <w:lang w:val="en-US" w:eastAsia="zh-CN" w:bidi="ar-SA"/>
              </w:rPr>
              <w:t>1、演示呼叫中心来电弹屏、工单录入、流转功能、微信小程序的工单接收、回复、转发功能（优秀得3分，普通得1分，无得0分）</w:t>
            </w:r>
          </w:p>
          <w:p>
            <w:pPr>
              <w:pStyle w:val="2"/>
              <w:ind w:left="0" w:leftChars="0" w:firstLine="0" w:firstLineChars="0"/>
              <w:rPr>
                <w:rFonts w:hint="eastAsia" w:ascii="Calibri" w:hAnsi="Calibri" w:cs="Times New Roman"/>
                <w:color w:val="auto"/>
                <w:kern w:val="2"/>
                <w:sz w:val="21"/>
                <w:szCs w:val="22"/>
                <w:lang w:val="en-US" w:eastAsia="zh-CN" w:bidi="ar-SA"/>
              </w:rPr>
            </w:pPr>
            <w:r>
              <w:rPr>
                <w:rFonts w:hint="eastAsia" w:ascii="Calibri" w:hAnsi="Calibri" w:cs="Times New Roman"/>
                <w:color w:val="auto"/>
                <w:kern w:val="2"/>
                <w:sz w:val="21"/>
                <w:szCs w:val="22"/>
                <w:lang w:val="en-US" w:eastAsia="zh-CN" w:bidi="ar-SA"/>
              </w:rPr>
              <w:t>4、演示监控页面，包括综合业务监控、座席状态监控、呼入呼出统计、实时呼入统计（</w:t>
            </w:r>
            <w:r>
              <w:rPr>
                <w:rFonts w:hint="eastAsia" w:ascii="Calibri" w:hAnsi="Calibri" w:cs="Times New Roman"/>
                <w:color w:val="auto"/>
                <w:kern w:val="2"/>
                <w:sz w:val="21"/>
                <w:szCs w:val="22"/>
                <w:highlight w:val="none"/>
                <w:lang w:val="en-US" w:eastAsia="zh-CN" w:bidi="ar-SA"/>
              </w:rPr>
              <w:t>优秀得</w:t>
            </w:r>
            <w:r>
              <w:rPr>
                <w:rFonts w:hint="eastAsia" w:ascii="Calibri" w:hAnsi="Calibri" w:cs="Times New Roman"/>
                <w:color w:val="auto"/>
                <w:kern w:val="2"/>
                <w:sz w:val="21"/>
                <w:szCs w:val="22"/>
                <w:lang w:val="en-US" w:eastAsia="zh-CN" w:bidi="ar-SA"/>
              </w:rPr>
              <w:t>3分，普通得1分，无得0分）</w:t>
            </w:r>
          </w:p>
          <w:p>
            <w:pPr>
              <w:pStyle w:val="2"/>
              <w:ind w:left="0" w:leftChars="0" w:firstLine="0" w:firstLineChars="0"/>
              <w:rPr>
                <w:rFonts w:hint="eastAsia" w:ascii="Calibri" w:hAnsi="Calibri"/>
                <w:color w:val="auto"/>
                <w:kern w:val="2"/>
                <w:sz w:val="21"/>
                <w:szCs w:val="22"/>
                <w:lang w:val="en-US" w:eastAsia="zh-CN" w:bidi="ar-SA"/>
              </w:rPr>
            </w:pPr>
            <w:r>
              <w:rPr>
                <w:rFonts w:hint="eastAsia" w:ascii="Calibri" w:hAnsi="Calibri"/>
                <w:color w:val="auto"/>
                <w:kern w:val="2"/>
                <w:sz w:val="21"/>
                <w:szCs w:val="22"/>
                <w:lang w:val="en-US" w:eastAsia="zh-CN" w:bidi="ar-SA"/>
              </w:rPr>
              <w:t>二、售后服务（6分）</w:t>
            </w:r>
          </w:p>
          <w:p>
            <w:pPr>
              <w:pStyle w:val="2"/>
              <w:ind w:left="0" w:leftChars="0" w:firstLine="0" w:firstLineChars="0"/>
              <w:rPr>
                <w:rFonts w:hint="eastAsia" w:ascii="Calibri" w:hAnsi="Calibri"/>
                <w:color w:val="auto"/>
                <w:kern w:val="2"/>
                <w:sz w:val="21"/>
                <w:szCs w:val="22"/>
                <w:highlight w:val="none"/>
                <w:lang w:val="en-US" w:eastAsia="zh-CN" w:bidi="ar-SA"/>
              </w:rPr>
            </w:pPr>
            <w:r>
              <w:rPr>
                <w:rFonts w:hint="eastAsia" w:ascii="Calibri" w:hAnsi="Calibri" w:cs="Times New Roman"/>
                <w:color w:val="auto"/>
                <w:kern w:val="2"/>
                <w:sz w:val="21"/>
                <w:szCs w:val="22"/>
                <w:lang w:val="en-US" w:eastAsia="zh-CN" w:bidi="ar-SA"/>
              </w:rPr>
              <w:t>1、具有完善的服务体系的，</w:t>
            </w:r>
            <w:r>
              <w:rPr>
                <w:rFonts w:hint="eastAsia" w:ascii="Calibri" w:hAnsi="Calibri" w:cs="Times New Roman"/>
                <w:color w:val="auto"/>
                <w:kern w:val="2"/>
                <w:sz w:val="21"/>
                <w:szCs w:val="22"/>
                <w:highlight w:val="none"/>
                <w:lang w:val="en-US" w:eastAsia="zh-CN" w:bidi="ar-SA"/>
              </w:rPr>
              <w:t>系统上线初期（不少于一个月）至少提供1名专职项目人员驻场支持。得2分，最低得0分。</w:t>
            </w:r>
          </w:p>
          <w:p>
            <w:pPr>
              <w:pStyle w:val="2"/>
              <w:ind w:left="0" w:leftChars="0" w:firstLine="0" w:firstLineChars="0"/>
              <w:rPr>
                <w:rFonts w:ascii="宋体" w:hAnsi="宋体" w:cs="仿宋"/>
                <w:b/>
                <w:color w:val="auto"/>
                <w:sz w:val="24"/>
                <w:szCs w:val="24"/>
              </w:rPr>
            </w:pPr>
            <w:r>
              <w:rPr>
                <w:rFonts w:hint="eastAsia" w:ascii="Calibri" w:hAnsi="Calibri"/>
                <w:color w:val="auto"/>
                <w:kern w:val="2"/>
                <w:sz w:val="21"/>
                <w:szCs w:val="22"/>
                <w:lang w:val="en-US" w:eastAsia="zh-CN" w:bidi="ar-SA"/>
              </w:rPr>
              <w:t>2、应急响应及时，承诺提供7X24服务，出现紧急故障需要处理，在接到通知后2小时内电话响应，24小时内到场处理得3分，方案更优者可加1分，最多加1分。</w:t>
            </w:r>
          </w:p>
        </w:tc>
      </w:tr>
    </w:tbl>
    <w:p>
      <w:pPr>
        <w:pStyle w:val="2"/>
        <w:ind w:firstLine="0" w:firstLineChars="0"/>
        <w:rPr>
          <w:color w:val="auto"/>
        </w:rPr>
      </w:pPr>
    </w:p>
    <w:p>
      <w:pPr>
        <w:pStyle w:val="4"/>
        <w:snapToGrid w:val="0"/>
        <w:spacing w:before="0" w:after="0" w:line="360" w:lineRule="auto"/>
        <w:outlineLvl w:val="0"/>
        <w:rPr>
          <w:rFonts w:hint="eastAsia" w:ascii="宋体" w:hAnsi="宋体" w:cs="宋体"/>
          <w:color w:val="auto"/>
        </w:rPr>
      </w:pPr>
      <w:bookmarkStart w:id="173" w:name="_Toc562"/>
      <w:bookmarkStart w:id="174" w:name="_Toc47023098"/>
      <w:bookmarkStart w:id="175" w:name="_Toc29108"/>
      <w:bookmarkStart w:id="176" w:name="_Toc32625"/>
      <w:bookmarkStart w:id="177" w:name="_Toc13959"/>
      <w:bookmarkStart w:id="178" w:name="_Toc40699934"/>
      <w:r>
        <w:rPr>
          <w:rFonts w:hint="eastAsia" w:ascii="宋体" w:hAnsi="宋体" w:cs="宋体"/>
          <w:color w:val="auto"/>
        </w:rPr>
        <w:t>3.评标程序</w:t>
      </w:r>
      <w:bookmarkEnd w:id="173"/>
      <w:bookmarkEnd w:id="174"/>
      <w:bookmarkEnd w:id="175"/>
      <w:bookmarkEnd w:id="176"/>
      <w:bookmarkEnd w:id="177"/>
      <w:bookmarkEnd w:id="178"/>
    </w:p>
    <w:p>
      <w:pPr>
        <w:snapToGrid w:val="0"/>
        <w:spacing w:line="360" w:lineRule="auto"/>
        <w:outlineLvl w:val="1"/>
        <w:rPr>
          <w:rFonts w:hint="eastAsia" w:ascii="宋体" w:hAnsi="宋体" w:cs="宋体"/>
          <w:color w:val="auto"/>
          <w:kern w:val="0"/>
        </w:rPr>
      </w:pPr>
      <w:bookmarkStart w:id="179" w:name="_Toc5857"/>
      <w:bookmarkStart w:id="180" w:name="_Toc31556"/>
      <w:r>
        <w:rPr>
          <w:rFonts w:hint="eastAsia" w:ascii="宋体" w:hAnsi="宋体" w:cs="宋体"/>
          <w:color w:val="auto"/>
          <w:kern w:val="0"/>
        </w:rPr>
        <w:t>3.1初步评审</w:t>
      </w:r>
      <w:bookmarkEnd w:id="179"/>
      <w:bookmarkEnd w:id="180"/>
    </w:p>
    <w:p>
      <w:pPr>
        <w:snapToGrid w:val="0"/>
        <w:spacing w:line="360" w:lineRule="auto"/>
        <w:rPr>
          <w:rFonts w:hint="eastAsia" w:ascii="宋体" w:hAnsi="宋体" w:cs="宋体"/>
          <w:color w:val="auto"/>
          <w:kern w:val="0"/>
        </w:rPr>
      </w:pPr>
      <w:r>
        <w:rPr>
          <w:rFonts w:hint="eastAsia" w:ascii="宋体" w:hAnsi="宋体" w:cs="宋体"/>
          <w:color w:val="auto"/>
          <w:kern w:val="0"/>
        </w:rPr>
        <w:t>3.1.1评标委员会可以要求投标人提交第一章“投标人须知”规定的有关证明和证件的原件，以便核验。评标委员会依据本章第2.1款规定的标准对投标文件进行初步评审。有一项不符合评审标准的，评标委员会应当否决其投标。</w:t>
      </w:r>
    </w:p>
    <w:p>
      <w:pPr>
        <w:snapToGrid w:val="0"/>
        <w:spacing w:line="360" w:lineRule="auto"/>
        <w:rPr>
          <w:rFonts w:hint="eastAsia" w:ascii="宋体" w:hAnsi="宋体" w:cs="宋体"/>
          <w:color w:val="auto"/>
          <w:kern w:val="0"/>
        </w:rPr>
      </w:pPr>
      <w:r>
        <w:rPr>
          <w:rFonts w:hint="eastAsia" w:ascii="宋体" w:hAnsi="宋体" w:cs="宋体"/>
          <w:color w:val="auto"/>
          <w:kern w:val="0"/>
        </w:rPr>
        <w:t>3.1.2投标人有以下情形之一的，评标委员会应当否决其投标：</w:t>
      </w:r>
    </w:p>
    <w:p>
      <w:pPr>
        <w:snapToGrid w:val="0"/>
        <w:spacing w:line="360" w:lineRule="auto"/>
        <w:rPr>
          <w:rFonts w:hint="eastAsia" w:ascii="宋体" w:hAnsi="宋体" w:cs="宋体"/>
          <w:color w:val="auto"/>
          <w:kern w:val="0"/>
        </w:rPr>
      </w:pPr>
      <w:r>
        <w:rPr>
          <w:rFonts w:hint="eastAsia" w:ascii="宋体" w:hAnsi="宋体" w:cs="宋体"/>
          <w:color w:val="auto"/>
          <w:kern w:val="0"/>
        </w:rPr>
        <w:t>（1）投标文件没有对招标文件的实质性要求和条件作出响应，或者对招标文件的偏差超出招标文件规定的偏差范围或最高项数；</w:t>
      </w:r>
    </w:p>
    <w:p>
      <w:pPr>
        <w:snapToGrid w:val="0"/>
        <w:spacing w:line="360" w:lineRule="auto"/>
        <w:rPr>
          <w:rFonts w:hint="eastAsia" w:ascii="宋体" w:hAnsi="宋体" w:cs="宋体"/>
          <w:color w:val="auto"/>
          <w:kern w:val="0"/>
        </w:rPr>
      </w:pPr>
      <w:r>
        <w:rPr>
          <w:rFonts w:hint="eastAsia" w:ascii="宋体" w:hAnsi="宋体" w:cs="宋体"/>
          <w:color w:val="auto"/>
          <w:kern w:val="0"/>
        </w:rPr>
        <w:t>（2）有串通投标、弄虚作假、行贿等违法行为。</w:t>
      </w:r>
    </w:p>
    <w:p>
      <w:pPr>
        <w:snapToGrid w:val="0"/>
        <w:spacing w:line="360" w:lineRule="auto"/>
        <w:rPr>
          <w:rFonts w:hint="eastAsia" w:ascii="宋体" w:hAnsi="宋体" w:cs="宋体"/>
          <w:color w:val="auto"/>
          <w:kern w:val="0"/>
        </w:rPr>
      </w:pPr>
      <w:r>
        <w:rPr>
          <w:rFonts w:hint="eastAsia" w:ascii="宋体" w:hAnsi="宋体" w:cs="宋体"/>
          <w:color w:val="auto"/>
          <w:kern w:val="0"/>
        </w:rPr>
        <w:t>3.1.3投标报价有算术错误及其他错误的，评标委员会按以下原则要求投标人对投标报价进行修正，并要求投标人书面澄清确认。投标人拒不澄清确认的，评标委员会应当否决其投标：</w:t>
      </w:r>
    </w:p>
    <w:p>
      <w:pPr>
        <w:snapToGrid w:val="0"/>
        <w:spacing w:line="360" w:lineRule="auto"/>
        <w:rPr>
          <w:rFonts w:hint="eastAsia" w:ascii="宋体" w:hAnsi="宋体" w:cs="宋体"/>
          <w:color w:val="auto"/>
          <w:kern w:val="0"/>
        </w:rPr>
      </w:pPr>
      <w:r>
        <w:rPr>
          <w:rFonts w:hint="eastAsia" w:ascii="宋体" w:hAnsi="宋体" w:cs="宋体"/>
          <w:color w:val="auto"/>
          <w:kern w:val="0"/>
        </w:rPr>
        <w:t>（1）投标文件中的大写金额与小写金额不一致的，以大写金额为准；</w:t>
      </w:r>
    </w:p>
    <w:p>
      <w:pPr>
        <w:snapToGrid w:val="0"/>
        <w:spacing w:line="360" w:lineRule="auto"/>
        <w:rPr>
          <w:rFonts w:hint="eastAsia" w:ascii="宋体" w:hAnsi="宋体" w:cs="宋体"/>
          <w:color w:val="auto"/>
          <w:kern w:val="0"/>
        </w:rPr>
      </w:pPr>
      <w:r>
        <w:rPr>
          <w:rFonts w:hint="eastAsia" w:ascii="宋体" w:hAnsi="宋体" w:cs="宋体"/>
          <w:color w:val="auto"/>
          <w:kern w:val="0"/>
        </w:rPr>
        <w:t>（2）总价金额与单价金额不一致的，以单价金额为准，但单价金额小数点有明显错误的除外；</w:t>
      </w:r>
    </w:p>
    <w:p>
      <w:pPr>
        <w:snapToGrid w:val="0"/>
        <w:spacing w:line="360" w:lineRule="auto"/>
        <w:rPr>
          <w:rFonts w:hint="eastAsia" w:ascii="宋体" w:hAnsi="宋体" w:cs="宋体"/>
          <w:color w:val="auto"/>
          <w:kern w:val="0"/>
        </w:rPr>
      </w:pPr>
      <w:r>
        <w:rPr>
          <w:rFonts w:hint="eastAsia" w:ascii="宋体" w:hAnsi="宋体" w:cs="宋体"/>
          <w:color w:val="auto"/>
          <w:kern w:val="0"/>
        </w:rPr>
        <w:t>（3）投标报价为各分项报价金额之和，投标报价与分项报价的合价不一致的，应以各分项合价累计数为准，修正投标报价；</w:t>
      </w:r>
    </w:p>
    <w:p>
      <w:pPr>
        <w:snapToGrid w:val="0"/>
        <w:spacing w:line="360" w:lineRule="auto"/>
        <w:rPr>
          <w:rFonts w:hint="eastAsia" w:ascii="宋体" w:hAnsi="宋体" w:cs="宋体"/>
          <w:color w:val="auto"/>
          <w:kern w:val="0"/>
        </w:rPr>
      </w:pPr>
      <w:r>
        <w:rPr>
          <w:rFonts w:hint="eastAsia" w:ascii="宋体" w:hAnsi="宋体" w:cs="宋体"/>
          <w:color w:val="auto"/>
          <w:kern w:val="0"/>
        </w:rPr>
        <w:t>（4）如果分项报价中存在缺漏项，则视为缺漏项价格已包含在其他分项报价之中。</w:t>
      </w:r>
    </w:p>
    <w:p>
      <w:pPr>
        <w:snapToGrid w:val="0"/>
        <w:spacing w:line="360" w:lineRule="auto"/>
        <w:outlineLvl w:val="1"/>
        <w:rPr>
          <w:rFonts w:hint="eastAsia" w:ascii="宋体" w:hAnsi="宋体" w:cs="宋体"/>
          <w:color w:val="auto"/>
          <w:kern w:val="0"/>
        </w:rPr>
      </w:pPr>
      <w:r>
        <w:rPr>
          <w:rFonts w:hint="eastAsia" w:ascii="宋体" w:hAnsi="宋体" w:cs="宋体"/>
          <w:color w:val="auto"/>
          <w:kern w:val="0"/>
        </w:rPr>
        <w:t>3.2详细评审</w:t>
      </w:r>
    </w:p>
    <w:p>
      <w:pPr>
        <w:snapToGrid w:val="0"/>
        <w:spacing w:line="360" w:lineRule="auto"/>
        <w:rPr>
          <w:rFonts w:hint="eastAsia" w:ascii="宋体" w:hAnsi="宋体" w:cs="宋体"/>
          <w:color w:val="auto"/>
          <w:kern w:val="0"/>
        </w:rPr>
      </w:pPr>
      <w:r>
        <w:rPr>
          <w:rFonts w:hint="eastAsia" w:ascii="宋体" w:hAnsi="宋体" w:cs="宋体"/>
          <w:color w:val="auto"/>
          <w:kern w:val="0"/>
        </w:rPr>
        <w:t>3.2.1评标委员会按本章第2.2款规定的量化因素和分值进行打分，并计算出综合评估得分。评分顺序如下：</w:t>
      </w:r>
    </w:p>
    <w:p>
      <w:pPr>
        <w:snapToGrid w:val="0"/>
        <w:spacing w:line="360" w:lineRule="auto"/>
        <w:rPr>
          <w:rFonts w:hint="eastAsia" w:ascii="宋体" w:hAnsi="宋体" w:cs="宋体"/>
          <w:color w:val="auto"/>
          <w:kern w:val="0"/>
        </w:rPr>
      </w:pPr>
      <w:r>
        <w:rPr>
          <w:rFonts w:hint="eastAsia" w:ascii="宋体" w:hAnsi="宋体" w:cs="宋体"/>
          <w:color w:val="auto"/>
          <w:kern w:val="0"/>
        </w:rPr>
        <w:t>（1）按本章第2.2.4（1）目规定的评审因素和分值对</w:t>
      </w:r>
      <w:r>
        <w:rPr>
          <w:rFonts w:hint="eastAsia" w:ascii="宋体" w:hAnsi="宋体" w:cs="宋体"/>
          <w:color w:val="auto"/>
          <w:kern w:val="0"/>
          <w:lang w:val="en-US" w:eastAsia="zh-CN"/>
        </w:rPr>
        <w:t>商务</w:t>
      </w:r>
      <w:r>
        <w:rPr>
          <w:rFonts w:hint="eastAsia" w:ascii="宋体" w:hAnsi="宋体" w:cs="宋体"/>
          <w:color w:val="auto"/>
          <w:kern w:val="0"/>
        </w:rPr>
        <w:t>部分计算出得分A；</w:t>
      </w:r>
    </w:p>
    <w:p>
      <w:pPr>
        <w:snapToGrid w:val="0"/>
        <w:spacing w:line="360" w:lineRule="auto"/>
        <w:rPr>
          <w:rFonts w:hint="eastAsia" w:ascii="宋体" w:hAnsi="宋体" w:cs="宋体"/>
          <w:color w:val="auto"/>
          <w:kern w:val="0"/>
        </w:rPr>
      </w:pPr>
      <w:r>
        <w:rPr>
          <w:rFonts w:hint="eastAsia" w:ascii="宋体" w:hAnsi="宋体" w:cs="宋体"/>
          <w:color w:val="auto"/>
          <w:kern w:val="0"/>
        </w:rPr>
        <w:t>（2）按本章第2.2.4（2）目规定的评审因素和分值对</w:t>
      </w:r>
      <w:r>
        <w:rPr>
          <w:rFonts w:hint="eastAsia" w:ascii="宋体" w:hAnsi="宋体" w:cs="宋体"/>
          <w:color w:val="auto"/>
          <w:kern w:val="0"/>
          <w:lang w:val="en-US" w:eastAsia="zh-CN"/>
        </w:rPr>
        <w:t>技术</w:t>
      </w:r>
      <w:r>
        <w:rPr>
          <w:rFonts w:hint="eastAsia" w:ascii="宋体" w:hAnsi="宋体" w:cs="宋体"/>
          <w:color w:val="auto"/>
          <w:kern w:val="0"/>
        </w:rPr>
        <w:t>部分计算出得分B；</w:t>
      </w:r>
    </w:p>
    <w:p>
      <w:pPr>
        <w:snapToGrid w:val="0"/>
        <w:spacing w:line="360" w:lineRule="auto"/>
        <w:rPr>
          <w:rFonts w:hint="eastAsia" w:ascii="宋体" w:hAnsi="宋体" w:cs="宋体"/>
          <w:color w:val="auto"/>
          <w:kern w:val="0"/>
        </w:rPr>
      </w:pPr>
      <w:r>
        <w:rPr>
          <w:rFonts w:hint="eastAsia" w:ascii="宋体" w:hAnsi="宋体" w:cs="宋体"/>
          <w:color w:val="auto"/>
          <w:kern w:val="0"/>
        </w:rPr>
        <w:t>（3）按本章第2.2.4（3）目规定的评审因素和分值对投标报价计算出得分C；</w:t>
      </w:r>
    </w:p>
    <w:p>
      <w:pPr>
        <w:snapToGrid w:val="0"/>
        <w:spacing w:line="360" w:lineRule="auto"/>
        <w:rPr>
          <w:rFonts w:hint="eastAsia" w:ascii="宋体" w:hAnsi="宋体" w:cs="宋体"/>
          <w:color w:val="auto"/>
          <w:kern w:val="0"/>
        </w:rPr>
      </w:pPr>
      <w:r>
        <w:rPr>
          <w:rFonts w:hint="eastAsia" w:ascii="宋体" w:hAnsi="宋体" w:cs="宋体"/>
          <w:color w:val="auto"/>
          <w:kern w:val="0"/>
        </w:rPr>
        <w:t>3.2.2评分分值计算保留小数点后两位，小数点后第三位“四舍五入”。</w:t>
      </w:r>
    </w:p>
    <w:p>
      <w:pPr>
        <w:snapToGrid w:val="0"/>
        <w:spacing w:line="360" w:lineRule="auto"/>
        <w:rPr>
          <w:rFonts w:hint="eastAsia" w:ascii="宋体" w:hAnsi="宋体" w:cs="宋体"/>
          <w:color w:val="auto"/>
          <w:kern w:val="0"/>
        </w:rPr>
      </w:pPr>
      <w:r>
        <w:rPr>
          <w:rFonts w:hint="eastAsia" w:ascii="宋体" w:hAnsi="宋体" w:cs="宋体"/>
          <w:color w:val="auto"/>
          <w:kern w:val="0"/>
        </w:rPr>
        <w:t>3.2.3投标人得分=A+B+C。</w:t>
      </w:r>
    </w:p>
    <w:p>
      <w:pPr>
        <w:snapToGrid w:val="0"/>
        <w:spacing w:line="360" w:lineRule="auto"/>
        <w:rPr>
          <w:rFonts w:hint="eastAsia" w:ascii="宋体" w:hAnsi="宋体" w:cs="宋体"/>
          <w:color w:val="auto"/>
          <w:kern w:val="0"/>
        </w:rPr>
      </w:pPr>
      <w:r>
        <w:rPr>
          <w:rFonts w:hint="eastAsia" w:ascii="宋体" w:hAnsi="宋体" w:cs="宋体"/>
          <w:color w:val="auto"/>
          <w:kern w:val="0"/>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napToGrid w:val="0"/>
        <w:spacing w:line="360" w:lineRule="auto"/>
        <w:outlineLvl w:val="1"/>
        <w:rPr>
          <w:rFonts w:hint="eastAsia" w:ascii="宋体" w:hAnsi="宋体" w:cs="宋体"/>
          <w:color w:val="auto"/>
          <w:kern w:val="0"/>
        </w:rPr>
      </w:pPr>
      <w:bookmarkStart w:id="181" w:name="_Toc26010"/>
      <w:bookmarkStart w:id="182" w:name="_Toc16426"/>
      <w:r>
        <w:rPr>
          <w:rFonts w:hint="eastAsia" w:ascii="宋体" w:hAnsi="宋体" w:cs="宋体"/>
          <w:color w:val="auto"/>
          <w:kern w:val="0"/>
        </w:rPr>
        <w:t>3.3投标文件的澄清</w:t>
      </w:r>
      <w:bookmarkEnd w:id="181"/>
      <w:bookmarkEnd w:id="182"/>
    </w:p>
    <w:p>
      <w:pPr>
        <w:snapToGrid w:val="0"/>
        <w:spacing w:line="360" w:lineRule="auto"/>
        <w:rPr>
          <w:rFonts w:hint="eastAsia" w:ascii="宋体" w:hAnsi="宋体" w:cs="宋体"/>
          <w:color w:val="auto"/>
          <w:kern w:val="0"/>
        </w:rPr>
      </w:pPr>
      <w:r>
        <w:rPr>
          <w:rFonts w:hint="eastAsia" w:ascii="宋体" w:hAnsi="宋体" w:cs="宋体"/>
          <w:color w:val="auto"/>
          <w:kern w:val="0"/>
        </w:rPr>
        <w:t>3.3.1在评标过程中，评标委员会可以书面形式要求投标人对投标文件中含义不明确、对同类问题表述不一致或者有明显文字和计算错误的内容</w:t>
      </w:r>
      <w:r>
        <w:rPr>
          <w:rFonts w:hint="eastAsia" w:ascii="宋体" w:hAnsi="宋体" w:cs="宋体"/>
          <w:color w:val="auto"/>
          <w:kern w:val="0"/>
          <w:highlight w:val="none"/>
          <w:lang w:eastAsia="zh-CN"/>
        </w:rPr>
        <w:t>做必要的</w:t>
      </w:r>
      <w:r>
        <w:rPr>
          <w:rFonts w:hint="eastAsia" w:ascii="宋体" w:hAnsi="宋体" w:cs="宋体"/>
          <w:color w:val="auto"/>
          <w:kern w:val="0"/>
        </w:rPr>
        <w:t>澄清、说明或补正。澄清、说明或补正应以书面方式进行。评标委员会不接受投标人主动提出的澄清、说明或补正。</w:t>
      </w:r>
    </w:p>
    <w:p>
      <w:pPr>
        <w:snapToGrid w:val="0"/>
        <w:spacing w:line="360" w:lineRule="auto"/>
        <w:rPr>
          <w:rFonts w:hint="eastAsia" w:ascii="宋体" w:hAnsi="宋体" w:cs="宋体"/>
          <w:color w:val="auto"/>
          <w:kern w:val="0"/>
        </w:rPr>
      </w:pPr>
      <w:r>
        <w:rPr>
          <w:rFonts w:hint="eastAsia" w:ascii="宋体" w:hAnsi="宋体" w:cs="宋体"/>
          <w:color w:val="auto"/>
          <w:kern w:val="0"/>
        </w:rPr>
        <w:t>3.3.2澄清、说明或补正不得超出投标文件的范围且不得改变投标文件的实质性内容，并构成投标文件的组成部分。</w:t>
      </w:r>
    </w:p>
    <w:p>
      <w:pPr>
        <w:snapToGrid w:val="0"/>
        <w:spacing w:line="360" w:lineRule="auto"/>
        <w:rPr>
          <w:rFonts w:hint="eastAsia" w:ascii="宋体" w:hAnsi="宋体" w:cs="宋体"/>
          <w:color w:val="auto"/>
          <w:kern w:val="0"/>
        </w:rPr>
      </w:pPr>
      <w:r>
        <w:rPr>
          <w:rFonts w:hint="eastAsia" w:ascii="宋体" w:hAnsi="宋体" w:cs="宋体"/>
          <w:color w:val="auto"/>
          <w:kern w:val="0"/>
        </w:rPr>
        <w:t>3.3.3评标委员会对投标人提交的澄清、说明或补正有疑问的，可以要求投标人进一步澄清、说明或补正，直至满足评标委员会的要求。</w:t>
      </w:r>
    </w:p>
    <w:p>
      <w:pPr>
        <w:snapToGrid w:val="0"/>
        <w:spacing w:line="360" w:lineRule="auto"/>
        <w:outlineLvl w:val="1"/>
        <w:rPr>
          <w:rFonts w:hint="eastAsia" w:ascii="宋体" w:hAnsi="宋体" w:cs="宋体"/>
          <w:color w:val="auto"/>
          <w:kern w:val="0"/>
        </w:rPr>
      </w:pPr>
      <w:bookmarkStart w:id="183" w:name="_Toc14333"/>
      <w:bookmarkStart w:id="184" w:name="_Toc13137"/>
      <w:r>
        <w:rPr>
          <w:rFonts w:hint="eastAsia" w:ascii="宋体" w:hAnsi="宋体" w:cs="宋体"/>
          <w:color w:val="auto"/>
          <w:kern w:val="0"/>
        </w:rPr>
        <w:t>3.4评标结果</w:t>
      </w:r>
      <w:bookmarkEnd w:id="183"/>
      <w:bookmarkEnd w:id="184"/>
    </w:p>
    <w:p>
      <w:pPr>
        <w:snapToGrid w:val="0"/>
        <w:spacing w:line="360" w:lineRule="auto"/>
        <w:rPr>
          <w:rFonts w:hint="eastAsia" w:ascii="宋体" w:hAnsi="宋体" w:cs="宋体"/>
          <w:color w:val="auto"/>
          <w:kern w:val="0"/>
        </w:rPr>
      </w:pPr>
      <w:r>
        <w:rPr>
          <w:rFonts w:hint="eastAsia" w:ascii="宋体" w:hAnsi="宋体" w:cs="宋体"/>
          <w:color w:val="auto"/>
          <w:kern w:val="0"/>
        </w:rPr>
        <w:t>3.4.1除第一章“投标人须知”前附表授权直接确定中标人外，评标委员会按照得分由高到低的顺序推荐中标候选人，并标明排序。</w:t>
      </w:r>
    </w:p>
    <w:p>
      <w:pPr>
        <w:snapToGrid w:val="0"/>
        <w:spacing w:line="360" w:lineRule="auto"/>
        <w:rPr>
          <w:rFonts w:hint="eastAsia" w:ascii="宋体" w:hAnsi="宋体" w:cs="宋体"/>
          <w:color w:val="auto"/>
          <w:kern w:val="0"/>
        </w:rPr>
      </w:pPr>
      <w:r>
        <w:rPr>
          <w:rFonts w:hint="eastAsia" w:ascii="宋体" w:hAnsi="宋体" w:cs="宋体"/>
          <w:color w:val="auto"/>
          <w:kern w:val="0"/>
        </w:rPr>
        <w:t>3.4.2评标委员会完成评标后，应当向招标人提交书面评标报告和中标候选人名单。</w:t>
      </w:r>
    </w:p>
    <w:p>
      <w:pPr>
        <w:pStyle w:val="3"/>
        <w:rPr>
          <w:rFonts w:hint="eastAsia" w:cs="宋体"/>
          <w:color w:val="auto"/>
        </w:rPr>
      </w:pPr>
      <w:bookmarkStart w:id="185" w:name="_Toc43369470"/>
      <w:bookmarkStart w:id="186" w:name="_Toc394939093"/>
      <w:bookmarkStart w:id="187" w:name="_Toc47023099"/>
      <w:r>
        <w:rPr>
          <w:rFonts w:hint="eastAsia" w:cs="宋体"/>
          <w:color w:val="auto"/>
          <w:highlight w:val="white"/>
        </w:rPr>
        <w:t>第三章  采购需求</w:t>
      </w:r>
      <w:bookmarkEnd w:id="185"/>
      <w:bookmarkEnd w:id="186"/>
      <w:bookmarkEnd w:id="187"/>
    </w:p>
    <w:p>
      <w:pPr>
        <w:pStyle w:val="3"/>
        <w:rPr>
          <w:rFonts w:hint="eastAsia" w:ascii="宋体" w:hAnsi="宋体" w:eastAsia="宋体" w:cs="宋体"/>
          <w:color w:val="auto"/>
          <w:sz w:val="30"/>
          <w:szCs w:val="30"/>
          <w:lang w:val="en-US" w:eastAsia="zh-CN"/>
        </w:rPr>
      </w:pPr>
      <w:bookmarkStart w:id="188" w:name="_Toc20641"/>
      <w:bookmarkStart w:id="189" w:name="_Toc40699933"/>
      <w:bookmarkStart w:id="190" w:name="_Toc47023097"/>
      <w:bookmarkStart w:id="191" w:name="_Toc11474"/>
      <w:bookmarkStart w:id="192" w:name="_Toc24522"/>
      <w:bookmarkStart w:id="193" w:name="_Toc7657"/>
      <w:bookmarkStart w:id="194" w:name="_Toc4425"/>
      <w:r>
        <w:rPr>
          <w:rFonts w:hint="eastAsia" w:ascii="宋体" w:hAnsi="宋体" w:eastAsia="宋体" w:cs="宋体"/>
          <w:color w:val="auto"/>
          <w:sz w:val="30"/>
          <w:szCs w:val="30"/>
          <w:lang w:val="en-US" w:eastAsia="zh-CN"/>
        </w:rPr>
        <w:t>一、需求概述</w:t>
      </w:r>
      <w:bookmarkEnd w:id="188"/>
    </w:p>
    <w:p>
      <w:pPr>
        <w:pStyle w:val="28"/>
        <w:widowControl/>
        <w:spacing w:beforeAutospacing="0" w:afterAutospacing="0" w:line="360" w:lineRule="auto"/>
        <w:ind w:firstLine="420"/>
        <w:rPr>
          <w:rFonts w:hint="eastAsia" w:ascii="宋体" w:hAnsi="宋体" w:eastAsia="宋体" w:cs="宋体"/>
          <w:color w:val="auto"/>
          <w:kern w:val="2"/>
          <w:sz w:val="24"/>
          <w:szCs w:val="24"/>
          <w:lang w:val="en-US" w:eastAsia="zh-CN" w:bidi="ar-SA"/>
        </w:rPr>
      </w:pPr>
      <w:r>
        <w:rPr>
          <w:rFonts w:hint="eastAsia" w:ascii="新宋体" w:hAnsi="新宋体" w:eastAsia="新宋体" w:cs="新宋体"/>
          <w:color w:val="auto"/>
          <w:lang w:val="en-US" w:eastAsia="zh-CN"/>
        </w:rPr>
        <w:t>公司业务范围广泛，涉及市民卡充值、查询，水、电、燃气缴费、旅游卡售卡、虚拟公交卡发行等，类型涵盖</w:t>
      </w:r>
      <w:r>
        <w:rPr>
          <w:rFonts w:hint="default" w:ascii="新宋体" w:hAnsi="新宋体" w:eastAsia="新宋体" w:cs="新宋体"/>
          <w:color w:val="auto"/>
          <w:lang w:val="en-US" w:eastAsia="zh-CN"/>
        </w:rPr>
        <w:t>服务咨询</w:t>
      </w:r>
      <w:r>
        <w:rPr>
          <w:rFonts w:hint="eastAsia" w:ascii="新宋体" w:hAnsi="新宋体" w:eastAsia="新宋体" w:cs="新宋体"/>
          <w:color w:val="auto"/>
          <w:lang w:val="en-US" w:eastAsia="zh-CN"/>
        </w:rPr>
        <w:t>、</w:t>
      </w:r>
      <w:r>
        <w:rPr>
          <w:rFonts w:hint="default" w:ascii="新宋体" w:hAnsi="新宋体" w:eastAsia="新宋体" w:cs="新宋体"/>
          <w:color w:val="auto"/>
          <w:lang w:val="en-US" w:eastAsia="zh-CN"/>
        </w:rPr>
        <w:t>故障报修受理</w:t>
      </w:r>
      <w:r>
        <w:rPr>
          <w:rFonts w:hint="eastAsia" w:ascii="新宋体" w:hAnsi="新宋体" w:eastAsia="新宋体" w:cs="新宋体"/>
          <w:color w:val="auto"/>
          <w:lang w:val="en-US" w:eastAsia="zh-CN"/>
        </w:rPr>
        <w:t>、</w:t>
      </w:r>
      <w:r>
        <w:rPr>
          <w:rFonts w:hint="default" w:ascii="新宋体" w:hAnsi="新宋体" w:eastAsia="新宋体" w:cs="新宋体"/>
          <w:color w:val="auto"/>
          <w:lang w:val="en-US" w:eastAsia="zh-CN"/>
        </w:rPr>
        <w:t>投诉举报受理</w:t>
      </w:r>
      <w:r>
        <w:rPr>
          <w:rFonts w:hint="eastAsia" w:ascii="新宋体" w:hAnsi="新宋体" w:eastAsia="新宋体" w:cs="新宋体"/>
          <w:color w:val="auto"/>
          <w:lang w:val="en-US" w:eastAsia="zh-CN"/>
        </w:rPr>
        <w:t>、</w:t>
      </w:r>
      <w:r>
        <w:rPr>
          <w:rFonts w:hint="default" w:ascii="新宋体" w:hAnsi="新宋体" w:eastAsia="新宋体" w:cs="新宋体"/>
          <w:color w:val="auto"/>
          <w:lang w:val="en-US" w:eastAsia="zh-CN"/>
        </w:rPr>
        <w:t>意见和建议征询</w:t>
      </w:r>
      <w:r>
        <w:rPr>
          <w:rFonts w:hint="eastAsia" w:ascii="新宋体" w:hAnsi="新宋体" w:eastAsia="新宋体" w:cs="新宋体"/>
          <w:color w:val="auto"/>
          <w:lang w:val="en-US" w:eastAsia="zh-CN"/>
        </w:rPr>
        <w:t>、</w:t>
      </w:r>
      <w:r>
        <w:rPr>
          <w:rFonts w:hint="eastAsia" w:ascii="新宋体" w:hAnsi="新宋体" w:eastAsia="新宋体" w:cs="新宋体"/>
          <w:color w:val="auto"/>
          <w:highlight w:val="none"/>
          <w:lang w:val="en-US" w:eastAsia="zh-CN"/>
        </w:rPr>
        <w:t>APP</w:t>
      </w:r>
      <w:r>
        <w:rPr>
          <w:rFonts w:hint="eastAsia" w:ascii="新宋体" w:hAnsi="新宋体" w:eastAsia="新宋体" w:cs="新宋体"/>
          <w:color w:val="auto"/>
          <w:lang w:val="en-US" w:eastAsia="zh-CN"/>
        </w:rPr>
        <w:t>运维等；为</w:t>
      </w:r>
      <w:r>
        <w:rPr>
          <w:rFonts w:hint="eastAsia" w:ascii="新宋体" w:hAnsi="新宋体" w:eastAsia="新宋体" w:cs="新宋体"/>
          <w:color w:val="auto"/>
        </w:rPr>
        <w:t>进一步提升服务质量，</w:t>
      </w:r>
      <w:r>
        <w:rPr>
          <w:rFonts w:hint="eastAsia" w:ascii="新宋体" w:hAnsi="新宋体" w:eastAsia="新宋体" w:cs="新宋体"/>
          <w:color w:val="auto"/>
          <w:lang w:val="en-US" w:eastAsia="zh-CN"/>
        </w:rPr>
        <w:t>需建设一套</w:t>
      </w:r>
      <w:r>
        <w:rPr>
          <w:rFonts w:hint="eastAsia" w:ascii="宋体" w:hAnsi="宋体" w:eastAsia="宋体" w:cs="宋体"/>
          <w:color w:val="auto"/>
          <w:kern w:val="2"/>
          <w:sz w:val="24"/>
          <w:szCs w:val="24"/>
          <w:lang w:val="en-US" w:eastAsia="zh-CN" w:bidi="ar-SA"/>
        </w:rPr>
        <w:t>智</w:t>
      </w:r>
      <w:r>
        <w:rPr>
          <w:rFonts w:hint="eastAsia" w:eastAsia="宋体" w:cs="宋体"/>
          <w:color w:val="auto"/>
          <w:kern w:val="2"/>
          <w:sz w:val="24"/>
          <w:szCs w:val="24"/>
          <w:lang w:val="en-US" w:eastAsia="zh-CN" w:bidi="ar-SA"/>
        </w:rPr>
        <w:t>能</w:t>
      </w:r>
      <w:r>
        <w:rPr>
          <w:rFonts w:hint="eastAsia" w:ascii="宋体" w:hAnsi="宋体" w:eastAsia="宋体" w:cs="宋体"/>
          <w:color w:val="auto"/>
          <w:kern w:val="2"/>
          <w:sz w:val="24"/>
          <w:szCs w:val="24"/>
          <w:lang w:val="en-US" w:eastAsia="zh-CN" w:bidi="ar-SA"/>
        </w:rPr>
        <w:t>客服平台</w:t>
      </w:r>
      <w:r>
        <w:rPr>
          <w:rFonts w:hint="eastAsia" w:ascii="新宋体" w:hAnsi="新宋体" w:eastAsia="新宋体" w:cs="新宋体"/>
          <w:color w:val="auto"/>
        </w:rPr>
        <w:t>，实现多入口接入，首问负责制、统一跟踪管理的线上服务模式</w:t>
      </w:r>
      <w:r>
        <w:rPr>
          <w:rFonts w:hint="eastAsia" w:ascii="新宋体" w:hAnsi="新宋体" w:eastAsia="新宋体" w:cs="新宋体"/>
          <w:color w:val="auto"/>
          <w:lang w:eastAsia="zh-CN"/>
        </w:rPr>
        <w:t>，</w:t>
      </w:r>
      <w:r>
        <w:rPr>
          <w:rFonts w:hint="eastAsia" w:ascii="新宋体" w:hAnsi="新宋体" w:eastAsia="新宋体" w:cs="新宋体"/>
          <w:color w:val="auto"/>
          <w:lang w:val="en-US" w:eastAsia="zh-CN"/>
        </w:rPr>
        <w:t>通过充分发挥信息化系统的作用，最终达到规范服务标准、优化服务流程、提升客户满意度的长远目标</w:t>
      </w:r>
      <w:r>
        <w:rPr>
          <w:rFonts w:hint="eastAsia" w:ascii="宋体" w:hAnsi="宋体" w:eastAsia="宋体" w:cs="宋体"/>
          <w:color w:val="auto"/>
          <w:kern w:val="2"/>
          <w:sz w:val="24"/>
          <w:szCs w:val="24"/>
          <w:lang w:val="en-US" w:eastAsia="zh-CN" w:bidi="ar-SA"/>
        </w:rPr>
        <w:t>，概述如下：</w:t>
      </w:r>
    </w:p>
    <w:p>
      <w:pPr>
        <w:pStyle w:val="48"/>
        <w:numPr>
          <w:ilvl w:val="0"/>
          <w:numId w:val="5"/>
        </w:numPr>
        <w:spacing w:line="360" w:lineRule="auto"/>
        <w:ind w:left="425" w:leftChars="0" w:hanging="425" w:firstLineChars="0"/>
        <w:rPr>
          <w:rFonts w:hint="eastAsia" w:eastAsia="宋体" w:cs="宋体"/>
          <w:color w:val="auto"/>
          <w:sz w:val="24"/>
          <w:szCs w:val="24"/>
          <w:lang w:val="en-US" w:eastAsia="zh-CN"/>
        </w:rPr>
      </w:pPr>
      <w:r>
        <w:rPr>
          <w:rFonts w:hint="eastAsia" w:eastAsia="宋体" w:cs="宋体"/>
          <w:color w:val="auto"/>
          <w:sz w:val="24"/>
          <w:szCs w:val="24"/>
          <w:lang w:val="en-US" w:eastAsia="zh-CN"/>
        </w:rPr>
        <w:t>支持</w:t>
      </w:r>
      <w:r>
        <w:rPr>
          <w:rFonts w:hint="eastAsia" w:eastAsia="宋体" w:cs="宋体"/>
          <w:color w:val="auto"/>
          <w:sz w:val="24"/>
          <w:szCs w:val="24"/>
          <w:highlight w:val="none"/>
          <w:lang w:val="en-US" w:eastAsia="zh-CN"/>
        </w:rPr>
        <w:t>A</w:t>
      </w:r>
      <w:r>
        <w:rPr>
          <w:rFonts w:hint="eastAsia" w:cs="宋体"/>
          <w:color w:val="auto"/>
          <w:sz w:val="24"/>
          <w:szCs w:val="24"/>
          <w:highlight w:val="none"/>
          <w:lang w:val="en-US" w:eastAsia="zh-CN"/>
        </w:rPr>
        <w:t>PP</w:t>
      </w:r>
      <w:r>
        <w:rPr>
          <w:rFonts w:hint="eastAsia" w:cs="宋体"/>
          <w:color w:val="auto"/>
          <w:sz w:val="24"/>
          <w:szCs w:val="24"/>
          <w:lang w:val="en-US" w:eastAsia="zh-CN"/>
        </w:rPr>
        <w:t>、微信、</w:t>
      </w:r>
      <w:r>
        <w:rPr>
          <w:rFonts w:hint="eastAsia" w:eastAsia="宋体" w:cs="宋体"/>
          <w:color w:val="auto"/>
          <w:sz w:val="24"/>
          <w:szCs w:val="24"/>
          <w:lang w:val="en-US" w:eastAsia="zh-CN"/>
        </w:rPr>
        <w:t>电话多终端接入，在客服资源不足情况下具备自动排队管理能力，具备机器人自动回复能力。</w:t>
      </w:r>
    </w:p>
    <w:p>
      <w:pPr>
        <w:pStyle w:val="48"/>
        <w:numPr>
          <w:ilvl w:val="0"/>
          <w:numId w:val="5"/>
        </w:numPr>
        <w:spacing w:line="360" w:lineRule="auto"/>
        <w:ind w:left="425" w:leftChars="0" w:hanging="425" w:firstLineChars="0"/>
        <w:rPr>
          <w:rFonts w:hint="eastAsia" w:eastAsia="宋体" w:cs="宋体"/>
          <w:color w:val="auto"/>
          <w:sz w:val="24"/>
          <w:szCs w:val="24"/>
          <w:lang w:val="en-US" w:eastAsia="zh-CN"/>
        </w:rPr>
      </w:pPr>
      <w:r>
        <w:rPr>
          <w:rFonts w:hint="eastAsia" w:eastAsia="宋体" w:cs="宋体"/>
          <w:color w:val="auto"/>
          <w:sz w:val="24"/>
          <w:szCs w:val="24"/>
          <w:lang w:val="en-US" w:eastAsia="zh-CN"/>
        </w:rPr>
        <w:t>访客可以通过关键字或菜单选择人工客服，并支持选择多级分类人工服务，具备工单流转跟踪功能。</w:t>
      </w:r>
    </w:p>
    <w:p>
      <w:pPr>
        <w:pStyle w:val="48"/>
        <w:numPr>
          <w:ilvl w:val="0"/>
          <w:numId w:val="5"/>
        </w:numPr>
        <w:spacing w:line="360" w:lineRule="auto"/>
        <w:ind w:left="42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rPr>
        <w:t>整个呼叫中心采用</w:t>
      </w:r>
      <w:r>
        <w:rPr>
          <w:rFonts w:hint="eastAsia" w:ascii="宋体" w:hAnsi="宋体" w:eastAsia="宋体" w:cs="宋体"/>
          <w:color w:val="auto"/>
          <w:sz w:val="24"/>
          <w:szCs w:val="24"/>
          <w:lang w:val="en-US" w:eastAsia="zh-CN"/>
        </w:rPr>
        <w:t>自建</w:t>
      </w:r>
      <w:r>
        <w:rPr>
          <w:rFonts w:hint="eastAsia" w:ascii="宋体" w:hAnsi="宋体" w:eastAsia="宋体" w:cs="宋体"/>
          <w:color w:val="auto"/>
          <w:sz w:val="24"/>
          <w:szCs w:val="24"/>
        </w:rPr>
        <w:t>模式进行搭建，呼叫中心所产生的相关数据信息统一存储在公司内部服务器中</w:t>
      </w:r>
      <w:r>
        <w:rPr>
          <w:rFonts w:hint="eastAsia" w:ascii="宋体" w:hAnsi="宋体" w:eastAsia="宋体" w:cs="宋体"/>
          <w:color w:val="auto"/>
          <w:sz w:val="24"/>
          <w:szCs w:val="24"/>
          <w:lang w:eastAsia="zh-CN"/>
        </w:rPr>
        <w:t>。</w:t>
      </w:r>
    </w:p>
    <w:p>
      <w:pPr>
        <w:pStyle w:val="48"/>
        <w:numPr>
          <w:ilvl w:val="0"/>
          <w:numId w:val="5"/>
        </w:numPr>
        <w:spacing w:line="360" w:lineRule="auto"/>
        <w:ind w:left="42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支持</w:t>
      </w:r>
      <w:r>
        <w:rPr>
          <w:rFonts w:hint="eastAsia" w:eastAsia="宋体" w:cs="宋体"/>
          <w:color w:val="FF0000"/>
          <w:sz w:val="24"/>
          <w:szCs w:val="24"/>
          <w:lang w:val="en-US" w:eastAsia="zh-CN"/>
        </w:rPr>
        <w:t>8</w:t>
      </w:r>
      <w:r>
        <w:rPr>
          <w:rFonts w:hint="eastAsia" w:ascii="宋体" w:hAnsi="宋体" w:eastAsia="宋体" w:cs="宋体"/>
          <w:color w:val="auto"/>
          <w:sz w:val="24"/>
          <w:szCs w:val="24"/>
          <w:lang w:val="en-US" w:eastAsia="zh-CN"/>
        </w:rPr>
        <w:t>坐席安全稳定运作，并且后期可快速扩展。</w:t>
      </w:r>
    </w:p>
    <w:p>
      <w:pPr>
        <w:pStyle w:val="48"/>
        <w:numPr>
          <w:ilvl w:val="0"/>
          <w:numId w:val="5"/>
        </w:numPr>
        <w:spacing w:line="360" w:lineRule="auto"/>
        <w:ind w:left="425" w:leftChars="0" w:hanging="425"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支持IVR语音导航功能，导航支持导航可根据</w:t>
      </w:r>
      <w:r>
        <w:rPr>
          <w:rFonts w:hint="eastAsia" w:cs="宋体"/>
          <w:color w:val="auto"/>
          <w:sz w:val="24"/>
          <w:szCs w:val="24"/>
          <w:lang w:val="en-US" w:eastAsia="zh-CN"/>
        </w:rPr>
        <w:t>实际</w:t>
      </w:r>
      <w:r>
        <w:rPr>
          <w:rFonts w:hint="eastAsia" w:ascii="宋体" w:hAnsi="宋体" w:eastAsia="宋体" w:cs="宋体"/>
          <w:color w:val="auto"/>
          <w:sz w:val="24"/>
          <w:szCs w:val="24"/>
          <w:lang w:val="en-US" w:eastAsia="zh-CN"/>
        </w:rPr>
        <w:t>业务自定义。</w:t>
      </w:r>
    </w:p>
    <w:p>
      <w:pPr>
        <w:pStyle w:val="48"/>
        <w:numPr>
          <w:ilvl w:val="0"/>
          <w:numId w:val="5"/>
        </w:numPr>
        <w:spacing w:line="360" w:lineRule="auto"/>
        <w:ind w:left="425" w:leftChars="0" w:hanging="425"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支持坐席操作，来电弹屏弹出用户信息，支持录入用户信息。</w:t>
      </w:r>
    </w:p>
    <w:p>
      <w:pPr>
        <w:pStyle w:val="48"/>
        <w:numPr>
          <w:ilvl w:val="0"/>
          <w:numId w:val="5"/>
        </w:numPr>
        <w:spacing w:line="360" w:lineRule="auto"/>
        <w:ind w:left="425" w:leftChars="0" w:hanging="425"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工单系统要求：支持实现三级以上工单流转，从坐席创建工单、多级流转工单、结束工单形成闭环，工单状态查询，实时跟踪，要与备件系统结合，可以关联到相应的备件，详细功能见附件。</w:t>
      </w:r>
    </w:p>
    <w:p>
      <w:pPr>
        <w:pStyle w:val="48"/>
        <w:numPr>
          <w:ilvl w:val="0"/>
          <w:numId w:val="5"/>
        </w:numPr>
        <w:spacing w:line="360" w:lineRule="auto"/>
        <w:ind w:left="425" w:leftChars="0" w:hanging="425" w:firstLineChars="0"/>
        <w:rPr>
          <w:rFonts w:hint="eastAsia" w:ascii="宋体" w:hAnsi="宋体" w:eastAsia="宋体" w:cs="宋体"/>
          <w:color w:val="auto"/>
          <w:sz w:val="24"/>
          <w:szCs w:val="24"/>
          <w:lang w:val="en-US" w:eastAsia="zh-CN"/>
        </w:rPr>
      </w:pPr>
      <w:r>
        <w:rPr>
          <w:rFonts w:hint="eastAsia" w:eastAsia="宋体" w:cs="宋体"/>
          <w:color w:val="auto"/>
          <w:kern w:val="2"/>
          <w:sz w:val="24"/>
          <w:szCs w:val="24"/>
          <w:lang w:val="en-US" w:eastAsia="zh-CN" w:bidi="ar-SA"/>
        </w:rPr>
        <w:t>支持</w:t>
      </w:r>
      <w:r>
        <w:rPr>
          <w:rFonts w:hint="eastAsia" w:ascii="宋体" w:hAnsi="宋体" w:eastAsia="宋体" w:cs="宋体"/>
          <w:color w:val="auto"/>
          <w:kern w:val="2"/>
          <w:sz w:val="24"/>
          <w:szCs w:val="24"/>
          <w:lang w:val="en-US" w:eastAsia="zh-CN" w:bidi="ar-SA"/>
        </w:rPr>
        <w:t>客服满意度</w:t>
      </w:r>
      <w:r>
        <w:rPr>
          <w:rFonts w:hint="eastAsia" w:eastAsia="宋体" w:cs="宋体"/>
          <w:color w:val="auto"/>
          <w:kern w:val="2"/>
          <w:sz w:val="24"/>
          <w:szCs w:val="24"/>
          <w:lang w:val="en-US" w:eastAsia="zh-CN" w:bidi="ar-SA"/>
        </w:rPr>
        <w:t>调查</w:t>
      </w:r>
      <w:r>
        <w:rPr>
          <w:rFonts w:hint="eastAsia" w:ascii="宋体" w:hAnsi="宋体" w:eastAsia="宋体" w:cs="宋体"/>
          <w:color w:val="auto"/>
          <w:kern w:val="2"/>
          <w:sz w:val="24"/>
          <w:szCs w:val="24"/>
          <w:lang w:val="en-US" w:eastAsia="zh-CN" w:bidi="ar-SA"/>
        </w:rPr>
        <w:t>功能，具备客服信息跟踪查询功能。</w:t>
      </w:r>
    </w:p>
    <w:p>
      <w:pPr>
        <w:pStyle w:val="48"/>
        <w:numPr>
          <w:ilvl w:val="0"/>
          <w:numId w:val="5"/>
        </w:numPr>
        <w:spacing w:line="360" w:lineRule="auto"/>
        <w:ind w:left="42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支持</w:t>
      </w:r>
      <w:r>
        <w:rPr>
          <w:rFonts w:hint="eastAsia" w:ascii="宋体" w:hAnsi="宋体" w:eastAsia="宋体" w:cs="宋体"/>
          <w:color w:val="auto"/>
          <w:sz w:val="24"/>
          <w:szCs w:val="24"/>
        </w:rPr>
        <w:t>全程录音服务；对所有呼入呼出通话进行录音，保存</w:t>
      </w:r>
      <w:r>
        <w:rPr>
          <w:rFonts w:hint="eastAsia" w:ascii="宋体" w:hAnsi="宋体" w:eastAsia="宋体" w:cs="宋体"/>
          <w:color w:val="auto"/>
          <w:sz w:val="24"/>
          <w:szCs w:val="24"/>
          <w:lang w:eastAsia="zh-CN"/>
        </w:rPr>
        <w:t>、导出。录音调听</w:t>
      </w:r>
      <w:r>
        <w:rPr>
          <w:rFonts w:hint="eastAsia" w:cs="宋体"/>
          <w:color w:val="auto"/>
          <w:sz w:val="24"/>
          <w:szCs w:val="24"/>
          <w:lang w:eastAsia="zh-CN"/>
        </w:rPr>
        <w:t>、</w:t>
      </w:r>
      <w:r>
        <w:rPr>
          <w:rFonts w:hint="eastAsia" w:ascii="宋体" w:hAnsi="宋体" w:eastAsia="宋体" w:cs="宋体"/>
          <w:color w:val="auto"/>
          <w:sz w:val="24"/>
          <w:szCs w:val="24"/>
          <w:lang w:eastAsia="zh-CN"/>
        </w:rPr>
        <w:t>查询接口（支持呼叫标识查询</w:t>
      </w:r>
      <w:r>
        <w:rPr>
          <w:rFonts w:hint="eastAsia" w:cs="宋体"/>
          <w:color w:val="auto"/>
          <w:sz w:val="24"/>
          <w:szCs w:val="24"/>
          <w:lang w:eastAsia="zh-CN"/>
        </w:rPr>
        <w:t>、</w:t>
      </w:r>
      <w:r>
        <w:rPr>
          <w:rFonts w:hint="eastAsia" w:ascii="宋体" w:hAnsi="宋体" w:eastAsia="宋体" w:cs="宋体"/>
          <w:color w:val="auto"/>
          <w:sz w:val="24"/>
          <w:szCs w:val="24"/>
          <w:lang w:eastAsia="zh-CN"/>
        </w:rPr>
        <w:t>挂机方</w:t>
      </w:r>
      <w:r>
        <w:rPr>
          <w:rFonts w:hint="eastAsia" w:cs="宋体"/>
          <w:color w:val="auto"/>
          <w:sz w:val="24"/>
          <w:szCs w:val="24"/>
          <w:lang w:eastAsia="zh-CN"/>
        </w:rPr>
        <w:t>、</w:t>
      </w:r>
      <w:r>
        <w:rPr>
          <w:rFonts w:hint="eastAsia" w:ascii="宋体" w:hAnsi="宋体" w:eastAsia="宋体" w:cs="宋体"/>
          <w:color w:val="auto"/>
          <w:sz w:val="24"/>
          <w:szCs w:val="24"/>
          <w:lang w:eastAsia="zh-CN"/>
        </w:rPr>
        <w:t>通话时长</w:t>
      </w:r>
      <w:r>
        <w:rPr>
          <w:rFonts w:hint="eastAsia" w:cs="宋体"/>
          <w:color w:val="auto"/>
          <w:sz w:val="24"/>
          <w:szCs w:val="24"/>
          <w:lang w:eastAsia="zh-CN"/>
        </w:rPr>
        <w:t>、</w:t>
      </w:r>
      <w:r>
        <w:rPr>
          <w:rFonts w:hint="eastAsia" w:ascii="宋体" w:hAnsi="宋体" w:eastAsia="宋体" w:cs="宋体"/>
          <w:color w:val="auto"/>
          <w:sz w:val="24"/>
          <w:szCs w:val="24"/>
          <w:lang w:eastAsia="zh-CN"/>
        </w:rPr>
        <w:t>主叫被叫）</w:t>
      </w:r>
      <w:r>
        <w:rPr>
          <w:rFonts w:hint="eastAsia" w:cs="宋体"/>
          <w:color w:val="auto"/>
          <w:sz w:val="24"/>
          <w:szCs w:val="24"/>
          <w:lang w:eastAsia="zh-CN"/>
        </w:rPr>
        <w:t>。</w:t>
      </w:r>
    </w:p>
    <w:p>
      <w:pPr>
        <w:pStyle w:val="48"/>
        <w:numPr>
          <w:ilvl w:val="0"/>
          <w:numId w:val="5"/>
        </w:numPr>
        <w:spacing w:line="360" w:lineRule="auto"/>
        <w:ind w:left="42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支持常见业务知识库。</w:t>
      </w:r>
    </w:p>
    <w:p>
      <w:pPr>
        <w:pStyle w:val="48"/>
        <w:numPr>
          <w:ilvl w:val="0"/>
          <w:numId w:val="5"/>
        </w:numPr>
        <w:spacing w:line="360" w:lineRule="auto"/>
        <w:ind w:left="425" w:leftChars="0" w:hanging="425"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系统报表：</w:t>
      </w:r>
      <w:r>
        <w:rPr>
          <w:rFonts w:hint="eastAsia" w:ascii="宋体" w:hAnsi="宋体" w:eastAsia="宋体" w:cs="宋体"/>
          <w:color w:val="auto"/>
          <w:sz w:val="24"/>
          <w:szCs w:val="24"/>
          <w:lang w:eastAsia="zh-CN"/>
        </w:rPr>
        <w:t>支持按日、周、月、年导出、分坐席员业务报表、整体业务报表、各时段业务数据统计报表、呼叫记录统计。</w:t>
      </w:r>
    </w:p>
    <w:p>
      <w:pPr>
        <w:pStyle w:val="48"/>
        <w:numPr>
          <w:ilvl w:val="0"/>
          <w:numId w:val="5"/>
        </w:numPr>
        <w:spacing w:line="360" w:lineRule="auto"/>
        <w:ind w:left="425" w:leftChars="0" w:hanging="425"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支持</w:t>
      </w:r>
      <w:r>
        <w:rPr>
          <w:rFonts w:hint="eastAsia" w:ascii="宋体" w:hAnsi="宋体" w:eastAsia="宋体" w:cs="宋体"/>
          <w:color w:val="auto"/>
          <w:sz w:val="24"/>
          <w:szCs w:val="24"/>
        </w:rPr>
        <w:t>统一界面综合管理：</w:t>
      </w:r>
      <w:r>
        <w:rPr>
          <w:rFonts w:hint="eastAsia" w:ascii="宋体" w:hAnsi="宋体" w:eastAsia="宋体" w:cs="宋体"/>
          <w:color w:val="auto"/>
          <w:sz w:val="24"/>
          <w:szCs w:val="24"/>
          <w:lang w:eastAsia="zh-CN"/>
        </w:rPr>
        <w:t>登录界面添加</w:t>
      </w:r>
      <w:r>
        <w:rPr>
          <w:rFonts w:hint="eastAsia" w:ascii="宋体" w:hAnsi="宋体" w:eastAsia="宋体" w:cs="宋体"/>
          <w:color w:val="auto"/>
          <w:sz w:val="24"/>
          <w:szCs w:val="24"/>
          <w:lang w:val="en-US" w:eastAsia="zh-CN"/>
        </w:rPr>
        <w:t>Logo，整体页面展示</w:t>
      </w:r>
      <w:r>
        <w:rPr>
          <w:rFonts w:hint="eastAsia" w:ascii="宋体" w:hAnsi="宋体" w:eastAsia="宋体" w:cs="宋体"/>
          <w:color w:val="auto"/>
          <w:sz w:val="24"/>
          <w:szCs w:val="24"/>
          <w:lang w:eastAsia="zh-CN"/>
        </w:rPr>
        <w:t>设计与品牌呼应，达到美观效果</w:t>
      </w:r>
      <w:r>
        <w:rPr>
          <w:rFonts w:hint="eastAsia" w:eastAsia="宋体" w:cs="宋体"/>
          <w:color w:val="auto"/>
          <w:sz w:val="24"/>
          <w:szCs w:val="24"/>
          <w:lang w:eastAsia="zh-CN"/>
        </w:rPr>
        <w:t>。</w:t>
      </w:r>
    </w:p>
    <w:p>
      <w:pPr>
        <w:pStyle w:val="3"/>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二、</w:t>
      </w:r>
      <w:r>
        <w:rPr>
          <w:rFonts w:hint="eastAsia" w:ascii="宋体" w:hAnsi="宋体" w:eastAsia="宋体" w:cs="宋体"/>
          <w:color w:val="auto"/>
          <w:sz w:val="30"/>
          <w:szCs w:val="30"/>
          <w:lang w:val="en-US" w:eastAsia="zh-CN"/>
        </w:rPr>
        <w:t>功能</w:t>
      </w:r>
      <w:r>
        <w:rPr>
          <w:rFonts w:hint="eastAsia" w:ascii="宋体" w:hAnsi="宋体" w:cs="宋体"/>
          <w:color w:val="auto"/>
          <w:sz w:val="30"/>
          <w:szCs w:val="30"/>
          <w:lang w:val="en-US" w:eastAsia="zh-CN"/>
        </w:rPr>
        <w:t>需求</w:t>
      </w:r>
    </w:p>
    <w:p>
      <w:pPr>
        <w:numPr>
          <w:ilvl w:val="0"/>
          <w:numId w:val="0"/>
        </w:numPr>
        <w:spacing w:line="360" w:lineRule="auto"/>
        <w:ind w:leftChars="0"/>
        <w:rPr>
          <w:rFonts w:hint="default" w:ascii="宋体" w:hAnsi="宋体"/>
          <w:color w:val="auto"/>
          <w:sz w:val="24"/>
          <w:szCs w:val="24"/>
          <w:lang w:val="en-US" w:eastAsia="zh-CN"/>
        </w:rPr>
      </w:pPr>
      <w:r>
        <w:rPr>
          <w:rFonts w:hint="eastAsia" w:ascii="宋体" w:hAnsi="宋体"/>
          <w:color w:val="auto"/>
          <w:sz w:val="24"/>
          <w:szCs w:val="24"/>
          <w:lang w:val="en-US" w:eastAsia="zh-CN"/>
        </w:rPr>
        <w:t>1.整体需求</w:t>
      </w:r>
    </w:p>
    <w:p>
      <w:pPr>
        <w:numPr>
          <w:ilvl w:val="0"/>
          <w:numId w:val="6"/>
        </w:numPr>
        <w:spacing w:line="360" w:lineRule="auto"/>
        <w:ind w:left="425" w:leftChars="0" w:hanging="425" w:firstLineChars="0"/>
        <w:rPr>
          <w:rFonts w:hint="eastAsia" w:ascii="宋体" w:hAnsi="宋体"/>
          <w:b w:val="0"/>
          <w:bCs w:val="0"/>
          <w:color w:val="auto"/>
          <w:kern w:val="2"/>
          <w:sz w:val="24"/>
          <w:szCs w:val="24"/>
          <w:lang w:val="en-US" w:eastAsia="zh-CN" w:bidi="ar-SA"/>
        </w:rPr>
      </w:pPr>
      <w:r>
        <w:rPr>
          <w:rFonts w:hint="eastAsia" w:ascii="宋体" w:hAnsi="宋体"/>
          <w:b/>
          <w:bCs/>
          <w:color w:val="auto"/>
          <w:sz w:val="24"/>
          <w:szCs w:val="24"/>
        </w:rPr>
        <w:t>工单</w:t>
      </w:r>
      <w:r>
        <w:rPr>
          <w:rFonts w:hint="eastAsia" w:ascii="宋体" w:hAnsi="宋体"/>
          <w:b/>
          <w:bCs/>
          <w:color w:val="auto"/>
          <w:sz w:val="24"/>
          <w:szCs w:val="24"/>
          <w:lang w:val="en-US" w:eastAsia="zh-CN"/>
        </w:rPr>
        <w:t>方面：</w:t>
      </w:r>
      <w:r>
        <w:rPr>
          <w:rFonts w:hint="eastAsia" w:ascii="宋体" w:hAnsi="宋体"/>
          <w:color w:val="auto"/>
          <w:sz w:val="24"/>
          <w:szCs w:val="24"/>
        </w:rPr>
        <w:t>可以接受电话、</w:t>
      </w:r>
      <w:r>
        <w:rPr>
          <w:rFonts w:hint="eastAsia" w:ascii="宋体" w:hAnsi="宋体"/>
          <w:color w:val="auto"/>
          <w:sz w:val="24"/>
          <w:szCs w:val="24"/>
          <w:lang w:val="en-US" w:eastAsia="zh-CN"/>
        </w:rPr>
        <w:t>微信</w:t>
      </w:r>
      <w:r>
        <w:rPr>
          <w:rFonts w:hint="eastAsia" w:ascii="宋体" w:hAnsi="宋体"/>
          <w:color w:val="auto"/>
          <w:sz w:val="24"/>
          <w:szCs w:val="24"/>
        </w:rPr>
        <w:t>、</w:t>
      </w:r>
      <w:r>
        <w:rPr>
          <w:rFonts w:hint="eastAsia" w:ascii="宋体" w:hAnsi="宋体"/>
          <w:color w:val="auto"/>
          <w:sz w:val="24"/>
          <w:szCs w:val="24"/>
          <w:highlight w:val="none"/>
        </w:rPr>
        <w:t>A</w:t>
      </w:r>
      <w:r>
        <w:rPr>
          <w:rFonts w:hint="eastAsia" w:ascii="宋体" w:hAnsi="宋体"/>
          <w:color w:val="auto"/>
          <w:sz w:val="24"/>
          <w:szCs w:val="24"/>
          <w:highlight w:val="none"/>
          <w:lang w:val="en-US" w:eastAsia="zh-CN"/>
        </w:rPr>
        <w:t>P</w:t>
      </w:r>
      <w:r>
        <w:rPr>
          <w:rFonts w:hint="eastAsia" w:ascii="宋体" w:hAnsi="宋体"/>
          <w:color w:val="auto"/>
          <w:sz w:val="24"/>
          <w:szCs w:val="24"/>
          <w:highlight w:val="none"/>
        </w:rPr>
        <w:t>P</w:t>
      </w:r>
      <w:r>
        <w:rPr>
          <w:rFonts w:hint="eastAsia" w:ascii="宋体" w:hAnsi="宋体"/>
          <w:color w:val="auto"/>
          <w:sz w:val="24"/>
          <w:szCs w:val="24"/>
        </w:rPr>
        <w:t>、公司内部员工等多种来源</w:t>
      </w:r>
      <w:r>
        <w:rPr>
          <w:rFonts w:hint="eastAsia" w:ascii="宋体" w:hAnsi="宋体"/>
          <w:color w:val="auto"/>
          <w:sz w:val="24"/>
          <w:szCs w:val="24"/>
          <w:lang w:eastAsia="zh-CN"/>
        </w:rPr>
        <w:t>；</w:t>
      </w:r>
      <w:r>
        <w:rPr>
          <w:rFonts w:hint="eastAsia" w:ascii="宋体" w:hAnsi="宋体"/>
          <w:color w:val="auto"/>
          <w:sz w:val="24"/>
          <w:szCs w:val="24"/>
        </w:rPr>
        <w:t>工单处理内容,包含咨询、投诉、建议、故障报修等各类业务</w:t>
      </w:r>
      <w:r>
        <w:rPr>
          <w:rFonts w:hint="eastAsia" w:ascii="宋体" w:hAnsi="宋体"/>
          <w:color w:val="auto"/>
          <w:sz w:val="24"/>
          <w:szCs w:val="24"/>
          <w:highlight w:val="none"/>
          <w:lang w:eastAsia="zh-CN"/>
        </w:rPr>
        <w:t>；</w:t>
      </w:r>
      <w:r>
        <w:rPr>
          <w:rFonts w:hint="eastAsia" w:ascii="宋体" w:hAnsi="宋体"/>
          <w:color w:val="auto"/>
          <w:sz w:val="24"/>
          <w:szCs w:val="24"/>
        </w:rPr>
        <w:t>工单内容详尽完整,包含业务类型、反映来源、反映内容</w:t>
      </w:r>
      <w:r>
        <w:rPr>
          <w:rFonts w:hint="eastAsia" w:ascii="宋体" w:hAnsi="宋体"/>
          <w:color w:val="auto"/>
          <w:sz w:val="24"/>
          <w:szCs w:val="24"/>
          <w:highlight w:val="none"/>
          <w:lang w:eastAsia="zh-CN"/>
        </w:rPr>
        <w:t>（</w:t>
      </w:r>
      <w:r>
        <w:rPr>
          <w:rFonts w:hint="eastAsia" w:ascii="宋体" w:hAnsi="宋体"/>
          <w:color w:val="auto"/>
          <w:sz w:val="24"/>
          <w:szCs w:val="24"/>
        </w:rPr>
        <w:t>可分级</w:t>
      </w:r>
      <w:r>
        <w:rPr>
          <w:rFonts w:hint="eastAsia" w:ascii="宋体" w:hAnsi="宋体"/>
          <w:color w:val="auto"/>
          <w:sz w:val="24"/>
          <w:szCs w:val="24"/>
          <w:highlight w:val="none"/>
          <w:lang w:eastAsia="zh-CN"/>
        </w:rPr>
        <w:t>）</w:t>
      </w:r>
      <w:r>
        <w:rPr>
          <w:rFonts w:hint="eastAsia" w:ascii="宋体" w:hAnsi="宋体"/>
          <w:color w:val="auto"/>
          <w:sz w:val="24"/>
          <w:szCs w:val="24"/>
          <w:lang w:eastAsia="zh-CN"/>
        </w:rPr>
        <w:t>；</w:t>
      </w:r>
      <w:r>
        <w:rPr>
          <w:rFonts w:hint="eastAsia" w:ascii="宋体" w:hAnsi="宋体"/>
          <w:color w:val="auto"/>
          <w:sz w:val="24"/>
          <w:szCs w:val="24"/>
        </w:rPr>
        <w:t>在工单下方有显示来电号码以往记录的查询</w:t>
      </w:r>
      <w:r>
        <w:rPr>
          <w:rFonts w:hint="eastAsia" w:ascii="宋体" w:hAnsi="宋体"/>
          <w:color w:val="auto"/>
          <w:sz w:val="24"/>
          <w:szCs w:val="24"/>
          <w:lang w:eastAsia="zh-CN"/>
        </w:rPr>
        <w:t>；</w:t>
      </w:r>
      <w:r>
        <w:rPr>
          <w:rFonts w:hint="eastAsia" w:ascii="宋体" w:hAnsi="宋体"/>
          <w:color w:val="auto"/>
          <w:sz w:val="24"/>
          <w:szCs w:val="24"/>
        </w:rPr>
        <w:t>完善的工单处理流程,根据职责的不同划分。有受理、处理、延期、催办、退单、备注等</w:t>
      </w:r>
      <w:r>
        <w:rPr>
          <w:rFonts w:hint="eastAsia" w:ascii="宋体" w:hAnsi="宋体"/>
          <w:color w:val="auto"/>
          <w:sz w:val="24"/>
          <w:szCs w:val="24"/>
          <w:lang w:eastAsia="zh-CN"/>
        </w:rPr>
        <w:t>；</w:t>
      </w:r>
      <w:r>
        <w:rPr>
          <w:rFonts w:hint="eastAsia" w:ascii="宋体" w:hAnsi="宋体"/>
          <w:color w:val="auto"/>
          <w:sz w:val="24"/>
          <w:szCs w:val="24"/>
        </w:rPr>
        <w:t>支持小程序,接单部门可利用小程序接单、派单处理工单</w:t>
      </w:r>
      <w:r>
        <w:rPr>
          <w:rFonts w:hint="eastAsia" w:ascii="宋体" w:hAnsi="宋体"/>
          <w:color w:val="auto"/>
          <w:sz w:val="24"/>
          <w:szCs w:val="24"/>
          <w:lang w:eastAsia="zh-CN"/>
        </w:rPr>
        <w:t>；</w:t>
      </w:r>
      <w:r>
        <w:rPr>
          <w:rFonts w:hint="eastAsia" w:ascii="宋体" w:hAnsi="宋体"/>
          <w:color w:val="auto"/>
          <w:sz w:val="24"/>
          <w:szCs w:val="24"/>
        </w:rPr>
        <w:t>可对工单的接单、到场、处理等方面进行考核</w:t>
      </w:r>
      <w:r>
        <w:rPr>
          <w:rFonts w:hint="eastAsia" w:ascii="宋体" w:hAnsi="宋体"/>
          <w:color w:val="auto"/>
          <w:sz w:val="24"/>
          <w:szCs w:val="24"/>
          <w:lang w:eastAsia="zh-CN"/>
        </w:rPr>
        <w:t>；</w:t>
      </w:r>
      <w:r>
        <w:rPr>
          <w:rFonts w:hint="eastAsia" w:ascii="宋体" w:hAnsi="宋体"/>
          <w:color w:val="auto"/>
          <w:sz w:val="24"/>
          <w:szCs w:val="24"/>
        </w:rPr>
        <w:t>业务闭环处理:用户上报、信息记录、派遣、接单、到场、处理、回访</w:t>
      </w:r>
      <w:r>
        <w:rPr>
          <w:rFonts w:hint="eastAsia" w:ascii="宋体" w:hAnsi="宋体"/>
          <w:color w:val="auto"/>
          <w:sz w:val="24"/>
          <w:szCs w:val="24"/>
          <w:lang w:eastAsia="zh-CN"/>
        </w:rPr>
        <w:t>，</w:t>
      </w:r>
      <w:r>
        <w:rPr>
          <w:rFonts w:hint="eastAsia" w:ascii="宋体" w:hAnsi="宋体"/>
          <w:color w:val="auto"/>
          <w:sz w:val="24"/>
          <w:szCs w:val="24"/>
        </w:rPr>
        <w:t>形成业务闭环。</w:t>
      </w:r>
    </w:p>
    <w:p>
      <w:pPr>
        <w:numPr>
          <w:ilvl w:val="0"/>
          <w:numId w:val="6"/>
        </w:numPr>
        <w:spacing w:line="360" w:lineRule="auto"/>
        <w:ind w:left="425" w:leftChars="0" w:hanging="425" w:firstLineChars="0"/>
        <w:rPr>
          <w:rFonts w:hint="eastAsia" w:ascii="宋体" w:hAnsi="宋体"/>
          <w:b w:val="0"/>
          <w:bCs w:val="0"/>
          <w:color w:val="auto"/>
          <w:kern w:val="2"/>
          <w:sz w:val="24"/>
          <w:szCs w:val="24"/>
          <w:lang w:val="en-US" w:eastAsia="zh-CN" w:bidi="ar-SA"/>
        </w:rPr>
      </w:pPr>
      <w:r>
        <w:rPr>
          <w:rFonts w:hint="eastAsia" w:ascii="宋体" w:hAnsi="宋体"/>
          <w:b/>
          <w:bCs/>
          <w:color w:val="auto"/>
          <w:kern w:val="2"/>
          <w:sz w:val="24"/>
          <w:szCs w:val="24"/>
          <w:lang w:val="en-US" w:eastAsia="zh-CN" w:bidi="ar-SA"/>
        </w:rPr>
        <w:t>话务方面：</w:t>
      </w:r>
      <w:r>
        <w:rPr>
          <w:rFonts w:hint="eastAsia" w:ascii="宋体" w:hAnsi="宋体"/>
          <w:b w:val="0"/>
          <w:bCs w:val="0"/>
          <w:color w:val="auto"/>
          <w:kern w:val="2"/>
          <w:sz w:val="24"/>
          <w:szCs w:val="24"/>
          <w:lang w:val="en-US" w:eastAsia="zh-CN" w:bidi="ar-SA"/>
        </w:rPr>
        <w:t>拨打电话时语音播报工号,打进电话后顾客可根据语音引导,进入自助语音服务模块,通过自主语音服务可以查询营业网点、办卡须知等内容。客户挂机后有对本次服务进行评价；可设置工作时间,下班时间可切换至自助语音服务；对坐席人员可进行多方考核,如话后评分指标评价,满意度指标评价,日业务受理数量,日平均在线时间,平均通话时间等；高峰期时能查询到丢失来电,便于回复。电话等待时间超过20秒未接听,可转至其他空闲坐席；当所有的座席服务代表都在忙线中,此时的来电进入队列等待。在等待队列中的来电人能听到等待音乐,并且每隔一段时间报告一下队列位置。坐席能看到外部电话的排队情况、其他客服是否在接线的显示；呼入、呼出的语音录音功能；设置普通坐席、班长坐席,主管坐席,根据职责不同设置权限。</w:t>
      </w:r>
    </w:p>
    <w:p>
      <w:pPr>
        <w:numPr>
          <w:ilvl w:val="0"/>
          <w:numId w:val="6"/>
        </w:numPr>
        <w:spacing w:line="360" w:lineRule="auto"/>
        <w:ind w:left="425" w:leftChars="0" w:hanging="425" w:firstLineChars="0"/>
        <w:rPr>
          <w:rFonts w:hint="eastAsia" w:ascii="宋体" w:hAnsi="宋体"/>
          <w:b w:val="0"/>
          <w:bCs w:val="0"/>
          <w:color w:val="auto"/>
          <w:kern w:val="2"/>
          <w:sz w:val="24"/>
          <w:szCs w:val="24"/>
          <w:lang w:val="en-US" w:eastAsia="zh-CN" w:bidi="ar-SA"/>
        </w:rPr>
      </w:pPr>
      <w:r>
        <w:rPr>
          <w:rFonts w:hint="eastAsia" w:ascii="宋体" w:hAnsi="宋体"/>
          <w:b/>
          <w:bCs/>
          <w:color w:val="auto"/>
          <w:kern w:val="2"/>
          <w:sz w:val="24"/>
          <w:szCs w:val="24"/>
          <w:lang w:val="en-US" w:eastAsia="zh-CN" w:bidi="ar-SA"/>
        </w:rPr>
        <w:t>查询统计方面：</w:t>
      </w:r>
      <w:r>
        <w:rPr>
          <w:rFonts w:hint="eastAsia" w:ascii="宋体" w:hAnsi="宋体"/>
          <w:b w:val="0"/>
          <w:bCs w:val="0"/>
          <w:color w:val="auto"/>
          <w:kern w:val="2"/>
          <w:sz w:val="24"/>
          <w:szCs w:val="24"/>
          <w:lang w:val="en-US" w:eastAsia="zh-CN" w:bidi="ar-SA"/>
        </w:rPr>
        <w:t>任务派遣信息查询；各类业务的数据统计报表,可导出、打印；工单处理进度查询；</w:t>
      </w:r>
    </w:p>
    <w:p>
      <w:pPr>
        <w:numPr>
          <w:ilvl w:val="0"/>
          <w:numId w:val="6"/>
        </w:numPr>
        <w:spacing w:line="360" w:lineRule="auto"/>
        <w:ind w:left="425" w:leftChars="0" w:hanging="425" w:firstLineChars="0"/>
        <w:rPr>
          <w:rFonts w:hint="eastAsia" w:ascii="宋体" w:hAnsi="宋体"/>
          <w:b w:val="0"/>
          <w:bCs w:val="0"/>
          <w:color w:val="auto"/>
          <w:kern w:val="2"/>
          <w:sz w:val="24"/>
          <w:szCs w:val="24"/>
          <w:lang w:val="en-US" w:eastAsia="zh-CN" w:bidi="ar-SA"/>
        </w:rPr>
      </w:pPr>
      <w:r>
        <w:rPr>
          <w:rFonts w:hint="eastAsia" w:ascii="宋体" w:hAnsi="宋体"/>
          <w:b/>
          <w:bCs/>
          <w:color w:val="auto"/>
          <w:kern w:val="2"/>
          <w:sz w:val="24"/>
          <w:szCs w:val="24"/>
          <w:lang w:val="en-US" w:eastAsia="zh-CN" w:bidi="ar-SA"/>
        </w:rPr>
        <w:t>知识库功能：</w:t>
      </w:r>
      <w:r>
        <w:rPr>
          <w:rFonts w:hint="eastAsia" w:ascii="宋体" w:hAnsi="宋体"/>
          <w:b w:val="0"/>
          <w:bCs w:val="0"/>
          <w:color w:val="auto"/>
          <w:kern w:val="2"/>
          <w:sz w:val="24"/>
          <w:szCs w:val="24"/>
          <w:lang w:val="en-US" w:eastAsia="zh-CN" w:bidi="ar-SA"/>
        </w:rPr>
        <w:t>当座席在解答客户疑问时,可以根据关键字查询相关的问题解答,帮助座席解答客户疑问。有维护工具可以对栏目进行维护,添加,修改,编辑等。可以上传附件、图片等信息。</w:t>
      </w:r>
    </w:p>
    <w:p>
      <w:pPr>
        <w:numPr>
          <w:ilvl w:val="0"/>
          <w:numId w:val="6"/>
        </w:numPr>
        <w:spacing w:line="360" w:lineRule="auto"/>
        <w:ind w:left="425" w:leftChars="0" w:hanging="425" w:firstLineChars="0"/>
        <w:rPr>
          <w:rFonts w:hint="eastAsia" w:ascii="宋体" w:hAnsi="宋体"/>
          <w:b w:val="0"/>
          <w:bCs w:val="0"/>
          <w:color w:val="auto"/>
          <w:kern w:val="2"/>
          <w:sz w:val="24"/>
          <w:szCs w:val="24"/>
          <w:lang w:val="en-US" w:eastAsia="zh-CN" w:bidi="ar-SA"/>
        </w:rPr>
      </w:pPr>
      <w:r>
        <w:rPr>
          <w:rFonts w:hint="eastAsia" w:ascii="宋体" w:hAnsi="宋体"/>
          <w:b/>
          <w:bCs/>
          <w:color w:val="auto"/>
          <w:kern w:val="2"/>
          <w:sz w:val="24"/>
          <w:szCs w:val="24"/>
          <w:lang w:val="en-US" w:eastAsia="zh-CN" w:bidi="ar-SA"/>
        </w:rPr>
        <w:t>公告板功能：</w:t>
      </w:r>
      <w:r>
        <w:rPr>
          <w:rFonts w:hint="eastAsia" w:ascii="宋体" w:hAnsi="宋体"/>
          <w:b w:val="0"/>
          <w:bCs w:val="0"/>
          <w:color w:val="auto"/>
          <w:kern w:val="2"/>
          <w:sz w:val="24"/>
          <w:szCs w:val="24"/>
          <w:lang w:val="en-US" w:eastAsia="zh-CN" w:bidi="ar-SA"/>
        </w:rPr>
        <w:t>技术部门如有故障,需要及时告知客户的消息,可第一时间在公告板公布。公告板有消息提醒,便于客服及时查看。</w:t>
      </w:r>
    </w:p>
    <w:p>
      <w:pPr>
        <w:numPr>
          <w:ilvl w:val="0"/>
          <w:numId w:val="6"/>
        </w:numPr>
        <w:spacing w:line="360" w:lineRule="auto"/>
        <w:ind w:left="425" w:leftChars="0" w:hanging="425" w:firstLineChars="0"/>
        <w:rPr>
          <w:rFonts w:hint="eastAsia" w:ascii="宋体" w:hAnsi="宋体"/>
          <w:b w:val="0"/>
          <w:bCs w:val="0"/>
          <w:color w:val="auto"/>
          <w:kern w:val="2"/>
          <w:sz w:val="24"/>
          <w:szCs w:val="24"/>
          <w:lang w:val="en-US" w:eastAsia="zh-CN" w:bidi="ar-SA"/>
        </w:rPr>
      </w:pPr>
      <w:r>
        <w:rPr>
          <w:rFonts w:hint="eastAsia" w:ascii="宋体" w:hAnsi="宋体"/>
          <w:b w:val="0"/>
          <w:bCs w:val="0"/>
          <w:color w:val="auto"/>
          <w:kern w:val="2"/>
          <w:sz w:val="24"/>
          <w:szCs w:val="24"/>
          <w:lang w:val="en-US" w:eastAsia="zh-CN" w:bidi="ar-SA"/>
        </w:rPr>
        <w:t>提供用户发起咨询、历史问题查询、满意度调查等接口与我的扬州</w:t>
      </w:r>
      <w:r>
        <w:rPr>
          <w:rFonts w:hint="eastAsia" w:ascii="宋体" w:hAnsi="宋体"/>
          <w:b w:val="0"/>
          <w:bCs w:val="0"/>
          <w:color w:val="auto"/>
          <w:kern w:val="2"/>
          <w:sz w:val="24"/>
          <w:szCs w:val="24"/>
          <w:highlight w:val="none"/>
          <w:lang w:val="en-US" w:eastAsia="zh-CN" w:bidi="ar-SA"/>
        </w:rPr>
        <w:t>APP</w:t>
      </w:r>
      <w:r>
        <w:rPr>
          <w:rFonts w:hint="eastAsia" w:ascii="宋体" w:hAnsi="宋体"/>
          <w:b w:val="0"/>
          <w:bCs w:val="0"/>
          <w:color w:val="auto"/>
          <w:kern w:val="2"/>
          <w:sz w:val="24"/>
          <w:szCs w:val="24"/>
          <w:lang w:val="en-US" w:eastAsia="zh-CN" w:bidi="ar-SA"/>
        </w:rPr>
        <w:t>掌上营业厅实现无缝对接。</w:t>
      </w:r>
    </w:p>
    <w:p>
      <w:pPr>
        <w:numPr>
          <w:ilvl w:val="0"/>
          <w:numId w:val="0"/>
        </w:numPr>
        <w:spacing w:line="360" w:lineRule="auto"/>
        <w:ind w:leftChars="0"/>
        <w:rPr>
          <w:rFonts w:hint="eastAsia" w:ascii="宋体" w:hAnsi="宋体"/>
          <w:color w:val="auto"/>
          <w:sz w:val="24"/>
          <w:szCs w:val="24"/>
          <w:lang w:val="en-US" w:eastAsia="zh-CN"/>
        </w:rPr>
      </w:pPr>
      <w:r>
        <w:rPr>
          <w:rFonts w:hint="eastAsia" w:ascii="宋体" w:hAnsi="宋体"/>
          <w:color w:val="auto"/>
          <w:sz w:val="24"/>
          <w:szCs w:val="24"/>
          <w:lang w:val="en-US" w:eastAsia="zh-CN"/>
        </w:rPr>
        <w:t>2.功能清单</w:t>
      </w:r>
    </w:p>
    <w:tbl>
      <w:tblPr>
        <w:tblStyle w:val="30"/>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50"/>
        <w:gridCol w:w="6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53" w:type="dxa"/>
            <w:gridSpan w:val="3"/>
            <w:shd w:val="clear" w:color="auto" w:fill="FFFFFF"/>
            <w:noWrap w:val="0"/>
            <w:vAlign w:val="center"/>
          </w:tcPr>
          <w:p>
            <w:pPr>
              <w:widowControl/>
              <w:ind w:firstLine="0" w:firstLineChars="0"/>
              <w:jc w:val="left"/>
              <w:rPr>
                <w:rFonts w:ascii="宋体" w:hAnsi="宋体" w:cs="宋体"/>
                <w:b/>
                <w:bCs/>
                <w:color w:val="auto"/>
                <w:kern w:val="0"/>
                <w:sz w:val="28"/>
                <w:szCs w:val="28"/>
              </w:rPr>
            </w:pPr>
            <w:r>
              <w:rPr>
                <w:rFonts w:hint="eastAsia" w:ascii="宋体" w:hAnsi="宋体" w:cs="宋体"/>
                <w:b/>
                <w:bCs/>
                <w:color w:val="auto"/>
                <w:kern w:val="0"/>
                <w:sz w:val="28"/>
                <w:szCs w:val="28"/>
                <w:lang w:eastAsia="zh-CN"/>
              </w:rPr>
              <w:t>一</w:t>
            </w:r>
            <w:r>
              <w:rPr>
                <w:rFonts w:hint="eastAsia" w:ascii="宋体" w:hAnsi="宋体" w:cs="宋体"/>
                <w:b/>
                <w:bCs/>
                <w:color w:val="auto"/>
                <w:kern w:val="0"/>
                <w:sz w:val="28"/>
                <w:szCs w:val="28"/>
              </w:rPr>
              <w:t>、</w:t>
            </w:r>
            <w:r>
              <w:rPr>
                <w:rFonts w:hint="eastAsia" w:ascii="宋体" w:hAnsi="宋体" w:cs="宋体"/>
                <w:b/>
                <w:bCs/>
                <w:color w:val="auto"/>
                <w:kern w:val="0"/>
                <w:sz w:val="28"/>
                <w:szCs w:val="28"/>
                <w:lang w:val="en-US" w:eastAsia="zh-CN"/>
              </w:rPr>
              <w:t>呼叫中心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tblHeader/>
          <w:jc w:val="center"/>
        </w:trPr>
        <w:tc>
          <w:tcPr>
            <w:tcW w:w="736" w:type="dxa"/>
            <w:shd w:val="clear" w:color="auto" w:fill="auto"/>
            <w:noWrap w:val="0"/>
            <w:vAlign w:val="center"/>
          </w:tcPr>
          <w:p>
            <w:pPr>
              <w:widowControl/>
              <w:ind w:firstLine="0" w:firstLineChars="0"/>
              <w:jc w:val="both"/>
              <w:rPr>
                <w:rFonts w:hint="default" w:ascii="宋体" w:hAnsi="宋体"/>
                <w:b/>
                <w:color w:val="auto"/>
                <w:sz w:val="24"/>
                <w:lang w:val="en-US" w:eastAsia="zh-CN"/>
              </w:rPr>
            </w:pPr>
            <w:r>
              <w:rPr>
                <w:rFonts w:hint="eastAsia" w:ascii="宋体" w:hAnsi="宋体"/>
                <w:b/>
                <w:color w:val="auto"/>
                <w:sz w:val="24"/>
                <w:lang w:val="en-US" w:eastAsia="zh-CN"/>
              </w:rPr>
              <w:t>序号</w:t>
            </w:r>
          </w:p>
        </w:tc>
        <w:tc>
          <w:tcPr>
            <w:tcW w:w="1450" w:type="dxa"/>
            <w:shd w:val="clear" w:color="auto" w:fill="C0C0C0"/>
            <w:noWrap w:val="0"/>
            <w:vAlign w:val="center"/>
          </w:tcPr>
          <w:p>
            <w:pPr>
              <w:widowControl/>
              <w:ind w:firstLine="0" w:firstLineChars="0"/>
              <w:jc w:val="center"/>
              <w:rPr>
                <w:rFonts w:hint="eastAsia" w:ascii="宋体" w:hAnsi="宋体"/>
                <w:b/>
                <w:color w:val="auto"/>
                <w:sz w:val="24"/>
              </w:rPr>
            </w:pPr>
            <w:r>
              <w:rPr>
                <w:rFonts w:hint="eastAsia" w:ascii="宋体" w:hAnsi="宋体"/>
                <w:b/>
                <w:color w:val="auto"/>
                <w:sz w:val="24"/>
              </w:rPr>
              <w:t>功能项</w:t>
            </w:r>
          </w:p>
        </w:tc>
        <w:tc>
          <w:tcPr>
            <w:tcW w:w="6567" w:type="dxa"/>
            <w:shd w:val="clear" w:color="auto" w:fill="C0C0C0"/>
            <w:noWrap w:val="0"/>
            <w:vAlign w:val="center"/>
          </w:tcPr>
          <w:p>
            <w:pPr>
              <w:widowControl/>
              <w:ind w:firstLine="0" w:firstLineChars="0"/>
              <w:jc w:val="center"/>
              <w:rPr>
                <w:rFonts w:ascii="宋体" w:hAnsi="宋体"/>
                <w:b/>
                <w:color w:val="auto"/>
                <w:sz w:val="24"/>
              </w:rPr>
            </w:pPr>
            <w:r>
              <w:rPr>
                <w:rFonts w:hint="eastAsia" w:ascii="宋体" w:hAnsi="宋体"/>
                <w:b/>
                <w:color w:val="auto"/>
                <w:sz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36" w:type="dxa"/>
            <w:noWrap w:val="0"/>
            <w:vAlign w:val="center"/>
          </w:tcPr>
          <w:p>
            <w:pPr>
              <w:ind w:firstLine="0" w:firstLineChars="0"/>
              <w:jc w:val="center"/>
              <w:rPr>
                <w:rFonts w:ascii="宋体" w:hAnsi="宋体"/>
                <w:b/>
                <w:bCs/>
                <w:color w:val="auto"/>
                <w:sz w:val="24"/>
              </w:rPr>
            </w:pPr>
            <w:r>
              <w:rPr>
                <w:rFonts w:hint="eastAsia" w:ascii="宋体" w:hAnsi="宋体"/>
                <w:b/>
                <w:bCs/>
                <w:color w:val="auto"/>
                <w:sz w:val="24"/>
              </w:rPr>
              <w:t>1</w:t>
            </w:r>
          </w:p>
        </w:tc>
        <w:tc>
          <w:tcPr>
            <w:tcW w:w="1450" w:type="dxa"/>
            <w:vMerge w:val="restart"/>
            <w:noWrap w:val="0"/>
            <w:vAlign w:val="center"/>
          </w:tcPr>
          <w:p>
            <w:pPr>
              <w:ind w:firstLine="0" w:firstLineChars="0"/>
              <w:jc w:val="center"/>
              <w:rPr>
                <w:rFonts w:ascii="宋体" w:hAnsi="宋体"/>
                <w:b/>
                <w:color w:val="auto"/>
                <w:sz w:val="24"/>
              </w:rPr>
            </w:pPr>
            <w:r>
              <w:rPr>
                <w:rFonts w:hint="eastAsia" w:ascii="宋体" w:hAnsi="宋体" w:eastAsia="宋体" w:cs="宋体"/>
                <w:bCs/>
                <w:color w:val="000000"/>
                <w:sz w:val="24"/>
                <w:lang w:val="zh-CN"/>
              </w:rPr>
              <w:t>★</w:t>
            </w:r>
            <w:r>
              <w:rPr>
                <w:rFonts w:hint="eastAsia" w:ascii="宋体" w:hAnsi="宋体"/>
                <w:b/>
                <w:color w:val="auto"/>
                <w:sz w:val="24"/>
              </w:rPr>
              <w:t>ACD智能话务分配</w:t>
            </w:r>
          </w:p>
        </w:tc>
        <w:tc>
          <w:tcPr>
            <w:tcW w:w="6567" w:type="dxa"/>
            <w:noWrap w:val="0"/>
            <w:vAlign w:val="center"/>
          </w:tcPr>
          <w:p>
            <w:pPr>
              <w:numPr>
                <w:ilvl w:val="0"/>
                <w:numId w:val="7"/>
              </w:numPr>
              <w:ind w:firstLine="0" w:firstLineChars="0"/>
              <w:rPr>
                <w:rFonts w:ascii="宋体" w:hAnsi="宋体"/>
                <w:color w:val="auto"/>
              </w:rPr>
            </w:pPr>
            <w:r>
              <w:rPr>
                <w:rFonts w:hint="eastAsia" w:ascii="宋体" w:hAnsi="宋体"/>
                <w:color w:val="auto"/>
              </w:rPr>
              <w:t>全部振铃：用户呼入选择人工服务，系统将来电分配给所有空闲的座席分机，直到有某一振铃座席应答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36" w:type="dxa"/>
            <w:noWrap w:val="0"/>
            <w:vAlign w:val="center"/>
          </w:tcPr>
          <w:p>
            <w:pPr>
              <w:ind w:firstLine="0" w:firstLineChars="0"/>
              <w:jc w:val="center"/>
              <w:rPr>
                <w:rFonts w:ascii="宋体" w:hAnsi="宋体"/>
                <w:b/>
                <w:bCs/>
                <w:color w:val="auto"/>
                <w:sz w:val="24"/>
              </w:rPr>
            </w:pPr>
            <w:r>
              <w:rPr>
                <w:rFonts w:hint="eastAsia" w:ascii="宋体" w:hAnsi="宋体"/>
                <w:b/>
                <w:bCs/>
                <w:color w:val="auto"/>
                <w:sz w:val="24"/>
              </w:rPr>
              <w:t>2</w:t>
            </w:r>
          </w:p>
        </w:tc>
        <w:tc>
          <w:tcPr>
            <w:tcW w:w="1450" w:type="dxa"/>
            <w:vMerge w:val="continue"/>
            <w:noWrap w:val="0"/>
            <w:vAlign w:val="center"/>
          </w:tcPr>
          <w:p>
            <w:pPr>
              <w:ind w:firstLine="0" w:firstLineChars="0"/>
              <w:jc w:val="center"/>
              <w:rPr>
                <w:rFonts w:ascii="宋体" w:hAnsi="宋体"/>
                <w:b/>
                <w:color w:val="auto"/>
                <w:sz w:val="24"/>
              </w:rPr>
            </w:pPr>
          </w:p>
        </w:tc>
        <w:tc>
          <w:tcPr>
            <w:tcW w:w="6567" w:type="dxa"/>
            <w:noWrap w:val="0"/>
            <w:vAlign w:val="center"/>
          </w:tcPr>
          <w:p>
            <w:pPr>
              <w:numPr>
                <w:ilvl w:val="0"/>
                <w:numId w:val="7"/>
              </w:numPr>
              <w:ind w:firstLine="0" w:firstLineChars="0"/>
              <w:rPr>
                <w:rFonts w:ascii="宋体" w:hAnsi="宋体"/>
                <w:color w:val="auto"/>
              </w:rPr>
            </w:pPr>
            <w:r>
              <w:rPr>
                <w:rFonts w:hint="eastAsia" w:ascii="宋体" w:hAnsi="宋体"/>
                <w:color w:val="auto"/>
              </w:rPr>
              <w:t>轮流振铃：依次振铃每个空闲座席分机。如有座席分机A,B,C，用户呼入选择人工服务时，每次都由座席A振铃，若座席A处于忙碌状态，则由座席B振铃，依次类推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宋体" w:hAnsi="宋体"/>
                <w:b/>
                <w:bCs/>
                <w:color w:val="auto"/>
                <w:sz w:val="24"/>
              </w:rPr>
            </w:pPr>
            <w:r>
              <w:rPr>
                <w:rFonts w:hint="eastAsia" w:ascii="宋体" w:hAnsi="宋体"/>
                <w:b/>
                <w:bCs/>
                <w:color w:val="auto"/>
                <w:sz w:val="24"/>
              </w:rPr>
              <w:t>3</w:t>
            </w:r>
          </w:p>
        </w:tc>
        <w:tc>
          <w:tcPr>
            <w:tcW w:w="1450" w:type="dxa"/>
            <w:vMerge w:val="continue"/>
            <w:noWrap w:val="0"/>
            <w:vAlign w:val="center"/>
          </w:tcPr>
          <w:p>
            <w:pPr>
              <w:ind w:firstLine="0" w:firstLineChars="0"/>
              <w:jc w:val="center"/>
              <w:rPr>
                <w:rFonts w:ascii="宋体" w:hAnsi="宋体"/>
                <w:color w:val="auto"/>
              </w:rPr>
            </w:pPr>
          </w:p>
        </w:tc>
        <w:tc>
          <w:tcPr>
            <w:tcW w:w="6567" w:type="dxa"/>
            <w:noWrap w:val="0"/>
            <w:vAlign w:val="center"/>
          </w:tcPr>
          <w:p>
            <w:pPr>
              <w:numPr>
                <w:ilvl w:val="0"/>
                <w:numId w:val="7"/>
              </w:numPr>
              <w:ind w:firstLine="0" w:firstLineChars="0"/>
              <w:rPr>
                <w:rFonts w:ascii="宋体" w:hAnsi="宋体"/>
                <w:color w:val="auto"/>
              </w:rPr>
            </w:pPr>
            <w:r>
              <w:rPr>
                <w:rFonts w:hint="eastAsia" w:ascii="宋体" w:hAnsi="宋体"/>
                <w:color w:val="auto"/>
              </w:rPr>
              <w:t>最近接通：用户呼入选择人工服务，系统自动将来电分配给最近接通的空闲座席分机。如有座席分机A,B,C，用户呼入选择人工服务时，若上一个来电时，系统接通的是座席B，则本次通话系统将直接分配给座席B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宋体" w:hAnsi="宋体"/>
                <w:b/>
                <w:bCs/>
                <w:color w:val="auto"/>
                <w:sz w:val="24"/>
              </w:rPr>
            </w:pPr>
            <w:r>
              <w:rPr>
                <w:rFonts w:hint="eastAsia" w:ascii="宋体" w:hAnsi="宋体"/>
                <w:b/>
                <w:bCs/>
                <w:color w:val="auto"/>
                <w:sz w:val="24"/>
                <w:lang w:val="en-US" w:eastAsia="zh-CN"/>
              </w:rPr>
              <w:t>4</w:t>
            </w:r>
          </w:p>
        </w:tc>
        <w:tc>
          <w:tcPr>
            <w:tcW w:w="1450" w:type="dxa"/>
            <w:vMerge w:val="continue"/>
            <w:noWrap w:val="0"/>
            <w:vAlign w:val="center"/>
          </w:tcPr>
          <w:p>
            <w:pPr>
              <w:ind w:firstLine="0" w:firstLineChars="0"/>
              <w:jc w:val="center"/>
              <w:rPr>
                <w:rFonts w:ascii="宋体" w:hAnsi="宋体"/>
                <w:color w:val="auto"/>
              </w:rPr>
            </w:pPr>
          </w:p>
        </w:tc>
        <w:tc>
          <w:tcPr>
            <w:tcW w:w="6567"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firstLine="0" w:firstLineChars="0"/>
              <w:rPr>
                <w:rFonts w:ascii="宋体" w:hAnsi="宋体"/>
                <w:b/>
                <w:color w:val="auto"/>
                <w:sz w:val="24"/>
              </w:rPr>
            </w:pPr>
            <w:r>
              <w:rPr>
                <w:rFonts w:hint="eastAsia" w:ascii="宋体" w:hAnsi="宋体"/>
                <w:color w:val="auto"/>
              </w:rPr>
              <w:t>最少接通：用户呼入选择人工服务，系统自动将来电分配给当前空闲座席中通话次数最少的座席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宋体" w:hAnsi="宋体"/>
                <w:b/>
                <w:bCs/>
                <w:color w:val="auto"/>
                <w:sz w:val="24"/>
              </w:rPr>
            </w:pPr>
            <w:r>
              <w:rPr>
                <w:rFonts w:hint="eastAsia" w:ascii="宋体" w:hAnsi="宋体"/>
                <w:b/>
                <w:bCs/>
                <w:color w:val="auto"/>
                <w:sz w:val="24"/>
                <w:lang w:eastAsia="zh-CN"/>
              </w:rPr>
              <w:t>5</w:t>
            </w:r>
          </w:p>
        </w:tc>
        <w:tc>
          <w:tcPr>
            <w:tcW w:w="1450" w:type="dxa"/>
            <w:vMerge w:val="continue"/>
            <w:noWrap w:val="0"/>
            <w:vAlign w:val="center"/>
          </w:tcPr>
          <w:p>
            <w:pPr>
              <w:ind w:firstLine="0" w:firstLineChars="0"/>
              <w:jc w:val="center"/>
              <w:rPr>
                <w:rFonts w:ascii="宋体" w:hAnsi="宋体"/>
                <w:color w:val="auto"/>
              </w:rPr>
            </w:pPr>
          </w:p>
        </w:tc>
        <w:tc>
          <w:tcPr>
            <w:tcW w:w="6567"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firstLine="0" w:firstLineChars="0"/>
              <w:rPr>
                <w:rFonts w:ascii="宋体" w:hAnsi="宋体"/>
                <w:b/>
                <w:color w:val="auto"/>
                <w:sz w:val="24"/>
              </w:rPr>
            </w:pPr>
            <w:r>
              <w:rPr>
                <w:rFonts w:hint="eastAsia" w:ascii="宋体" w:hAnsi="宋体"/>
                <w:color w:val="auto"/>
              </w:rPr>
              <w:t>随机：用户呼入选择人工服务，系统将来电随机分配给当前任一空闲座席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36" w:type="dxa"/>
            <w:noWrap w:val="0"/>
            <w:vAlign w:val="center"/>
          </w:tcPr>
          <w:p>
            <w:pPr>
              <w:ind w:firstLine="0" w:firstLineChars="0"/>
              <w:jc w:val="center"/>
              <w:rPr>
                <w:rFonts w:ascii="宋体" w:hAnsi="宋体"/>
                <w:b/>
                <w:bCs/>
                <w:color w:val="auto"/>
                <w:sz w:val="24"/>
              </w:rPr>
            </w:pPr>
            <w:r>
              <w:rPr>
                <w:rFonts w:hint="eastAsia" w:ascii="宋体" w:hAnsi="宋体"/>
                <w:b/>
                <w:bCs/>
                <w:color w:val="auto"/>
                <w:sz w:val="24"/>
              </w:rPr>
              <w:t>6</w:t>
            </w:r>
          </w:p>
        </w:tc>
        <w:tc>
          <w:tcPr>
            <w:tcW w:w="1450" w:type="dxa"/>
            <w:vMerge w:val="continue"/>
            <w:noWrap w:val="0"/>
            <w:vAlign w:val="center"/>
          </w:tcPr>
          <w:p>
            <w:pPr>
              <w:ind w:firstLine="0" w:firstLineChars="0"/>
              <w:jc w:val="center"/>
              <w:rPr>
                <w:rFonts w:ascii="宋体" w:hAnsi="宋体"/>
                <w:color w:val="auto"/>
              </w:rPr>
            </w:pPr>
          </w:p>
        </w:tc>
        <w:tc>
          <w:tcPr>
            <w:tcW w:w="6567"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firstLine="0" w:firstLineChars="0"/>
              <w:rPr>
                <w:rFonts w:ascii="宋体" w:hAnsi="宋体"/>
                <w:b/>
                <w:color w:val="auto"/>
                <w:sz w:val="24"/>
              </w:rPr>
            </w:pPr>
            <w:r>
              <w:rPr>
                <w:rFonts w:hint="eastAsia" w:ascii="宋体" w:hAnsi="宋体"/>
                <w:color w:val="auto"/>
              </w:rPr>
              <w:t>记忆：用户呼入选择人工服务，系统自动将来电分配给上次分配座席的下一个空闲座席。例如：有座席分机A,B,C，系统第一次将来电分配给座席A，则下一个来电自动分配给座席B，再下一次则分配给座席C，第四次则再分配给座席A。依此循环类推。如果出现座席忙的情况，则按如下方式，系统将第一个来电分配给座席A，而系统接到第二个需要转接人工服务的来电时，座席B未处于空闲状态，则系统将第二个来电分配给座席C，当系统需要分配第三个来电时，则直接分配给座席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6" w:type="dxa"/>
            <w:noWrap w:val="0"/>
            <w:vAlign w:val="center"/>
          </w:tcPr>
          <w:p>
            <w:pPr>
              <w:ind w:firstLine="0" w:firstLineChars="0"/>
              <w:jc w:val="center"/>
              <w:rPr>
                <w:rFonts w:ascii="宋体" w:hAnsi="宋体"/>
                <w:b/>
                <w:bCs/>
                <w:color w:val="auto"/>
                <w:sz w:val="24"/>
              </w:rPr>
            </w:pPr>
            <w:r>
              <w:rPr>
                <w:rFonts w:hint="eastAsia" w:ascii="宋体" w:hAnsi="宋体"/>
                <w:b/>
                <w:bCs/>
                <w:color w:val="auto"/>
                <w:sz w:val="24"/>
              </w:rPr>
              <w:t>8</w:t>
            </w:r>
          </w:p>
        </w:tc>
        <w:tc>
          <w:tcPr>
            <w:tcW w:w="1450" w:type="dxa"/>
            <w:noWrap w:val="0"/>
            <w:vAlign w:val="center"/>
          </w:tcPr>
          <w:p>
            <w:pPr>
              <w:ind w:firstLine="0" w:firstLineChars="0"/>
              <w:jc w:val="center"/>
              <w:rPr>
                <w:rFonts w:ascii="宋体" w:hAnsi="宋体"/>
                <w:b/>
                <w:color w:val="auto"/>
                <w:sz w:val="24"/>
              </w:rPr>
            </w:pPr>
            <w:r>
              <w:rPr>
                <w:rFonts w:hint="eastAsia" w:ascii="宋体" w:hAnsi="宋体" w:eastAsia="宋体" w:cs="宋体"/>
                <w:bCs/>
                <w:color w:val="000000"/>
                <w:sz w:val="24"/>
                <w:lang w:val="zh-CN"/>
              </w:rPr>
              <w:t>★</w:t>
            </w:r>
            <w:r>
              <w:rPr>
                <w:rFonts w:hint="eastAsia" w:ascii="宋体" w:hAnsi="宋体"/>
                <w:b/>
                <w:color w:val="auto"/>
                <w:sz w:val="24"/>
              </w:rPr>
              <w:t>IVR自动语音导航</w:t>
            </w:r>
          </w:p>
        </w:tc>
        <w:tc>
          <w:tcPr>
            <w:tcW w:w="6567" w:type="dxa"/>
            <w:noWrap w:val="0"/>
            <w:vAlign w:val="center"/>
          </w:tcPr>
          <w:p>
            <w:pPr>
              <w:numPr>
                <w:ilvl w:val="0"/>
                <w:numId w:val="7"/>
              </w:numPr>
              <w:ind w:firstLine="0" w:firstLineChars="0"/>
              <w:rPr>
                <w:rFonts w:ascii="宋体" w:hAnsi="宋体"/>
                <w:color w:val="auto"/>
              </w:rPr>
            </w:pPr>
            <w:r>
              <w:rPr>
                <w:rFonts w:hint="eastAsia" w:ascii="宋体" w:hAnsi="宋体"/>
                <w:color w:val="auto"/>
              </w:rPr>
              <w:t>系统</w:t>
            </w:r>
            <w:r>
              <w:rPr>
                <w:rFonts w:hint="eastAsia" w:ascii="宋体" w:hAnsi="宋体"/>
                <w:color w:val="auto"/>
                <w:lang w:val="en-US" w:eastAsia="zh-CN"/>
              </w:rPr>
              <w:t>需</w:t>
            </w:r>
            <w:r>
              <w:rPr>
                <w:rFonts w:hint="eastAsia" w:ascii="宋体" w:hAnsi="宋体"/>
                <w:color w:val="auto"/>
              </w:rPr>
              <w:t>具有IVR自动语音导航功能，支持多套IVR流程根据时间条件自动判断选择，且每套IVR流程可无限层级配置。在IVR流程中，系统具有识别用户在电话键盘输入信息的功能。系统的时间条件，可以进行多条件组合设置，支持动态加载，即时设置，即时生效，且设置过程中不影响系统的正常使用，以满足各时段不同需求及突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6" w:type="dxa"/>
            <w:noWrap w:val="0"/>
            <w:vAlign w:val="center"/>
          </w:tcPr>
          <w:p>
            <w:pPr>
              <w:ind w:firstLine="0" w:firstLineChars="0"/>
              <w:jc w:val="center"/>
              <w:rPr>
                <w:rFonts w:ascii="宋体" w:hAnsi="宋体"/>
                <w:b/>
                <w:bCs/>
                <w:color w:val="auto"/>
                <w:sz w:val="24"/>
              </w:rPr>
            </w:pPr>
            <w:r>
              <w:rPr>
                <w:rFonts w:hint="eastAsia" w:ascii="宋体" w:hAnsi="宋体"/>
                <w:b/>
                <w:bCs/>
                <w:color w:val="auto"/>
                <w:sz w:val="24"/>
              </w:rPr>
              <w:t>9</w:t>
            </w:r>
          </w:p>
        </w:tc>
        <w:tc>
          <w:tcPr>
            <w:tcW w:w="1450" w:type="dxa"/>
            <w:noWrap w:val="0"/>
            <w:vAlign w:val="center"/>
          </w:tcPr>
          <w:p>
            <w:pPr>
              <w:ind w:firstLine="0" w:firstLineChars="0"/>
              <w:jc w:val="center"/>
              <w:rPr>
                <w:rFonts w:ascii="宋体" w:hAnsi="宋体"/>
                <w:b/>
                <w:bCs/>
                <w:color w:val="auto"/>
                <w:sz w:val="24"/>
              </w:rPr>
            </w:pPr>
            <w:r>
              <w:rPr>
                <w:rFonts w:hint="eastAsia" w:ascii="宋体" w:hAnsi="宋体" w:eastAsia="宋体" w:cs="宋体"/>
                <w:bCs/>
                <w:color w:val="000000"/>
                <w:sz w:val="24"/>
                <w:lang w:val="zh-CN"/>
              </w:rPr>
              <w:t>★</w:t>
            </w:r>
            <w:r>
              <w:rPr>
                <w:rFonts w:hint="eastAsia" w:ascii="宋体" w:hAnsi="宋体"/>
                <w:b/>
                <w:bCs/>
                <w:color w:val="auto"/>
                <w:sz w:val="24"/>
              </w:rPr>
              <w:t>来电自动弹屏</w:t>
            </w:r>
          </w:p>
        </w:tc>
        <w:tc>
          <w:tcPr>
            <w:tcW w:w="6567" w:type="dxa"/>
            <w:noWrap w:val="0"/>
            <w:vAlign w:val="center"/>
          </w:tcPr>
          <w:p>
            <w:pPr>
              <w:numPr>
                <w:ilvl w:val="0"/>
                <w:numId w:val="7"/>
              </w:numPr>
              <w:ind w:firstLine="0" w:firstLineChars="0"/>
              <w:rPr>
                <w:rFonts w:ascii="宋体" w:hAnsi="宋体"/>
                <w:color w:val="auto"/>
              </w:rPr>
            </w:pPr>
            <w:r>
              <w:rPr>
                <w:rFonts w:hint="eastAsia" w:ascii="宋体" w:hAnsi="宋体"/>
                <w:color w:val="auto"/>
              </w:rPr>
              <w:t>系统</w:t>
            </w:r>
            <w:r>
              <w:rPr>
                <w:rFonts w:hint="eastAsia" w:ascii="宋体" w:hAnsi="宋体"/>
                <w:color w:val="auto"/>
                <w:lang w:val="en-US" w:eastAsia="zh-CN"/>
              </w:rPr>
              <w:t>需</w:t>
            </w:r>
            <w:r>
              <w:rPr>
                <w:rFonts w:hint="eastAsia" w:ascii="宋体" w:hAnsi="宋体"/>
                <w:color w:val="auto"/>
              </w:rPr>
              <w:t>具有来电自动弹屏功能</w:t>
            </w:r>
            <w:r>
              <w:rPr>
                <w:rFonts w:hint="eastAsia" w:ascii="宋体" w:hAnsi="宋体"/>
                <w:color w:val="auto"/>
                <w:lang w:eastAsia="zh-CN"/>
              </w:rPr>
              <w:t>，支持在来电页面编辑客户信息、添加客户标签；支持在来电页面发送工单；支持在来电页面添加沟通记录动态等操作。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36" w:type="dxa"/>
            <w:tcBorders>
              <w:top w:val="single" w:color="auto" w:sz="4" w:space="0"/>
              <w:left w:val="single" w:color="auto" w:sz="4" w:space="0"/>
              <w:bottom w:val="single" w:color="auto" w:sz="4" w:space="0"/>
            </w:tcBorders>
            <w:noWrap w:val="0"/>
            <w:vAlign w:val="center"/>
          </w:tcPr>
          <w:p>
            <w:pPr>
              <w:ind w:firstLine="0" w:firstLineChars="0"/>
              <w:jc w:val="center"/>
              <w:rPr>
                <w:rFonts w:ascii="宋体" w:hAnsi="宋体"/>
                <w:b/>
                <w:bCs/>
                <w:color w:val="auto"/>
                <w:sz w:val="24"/>
              </w:rPr>
            </w:pPr>
            <w:r>
              <w:rPr>
                <w:rFonts w:hint="eastAsia" w:ascii="宋体" w:hAnsi="宋体"/>
                <w:b/>
                <w:bCs/>
                <w:color w:val="auto"/>
                <w:sz w:val="24"/>
              </w:rPr>
              <w:t>10</w:t>
            </w:r>
          </w:p>
        </w:tc>
        <w:tc>
          <w:tcPr>
            <w:tcW w:w="1450" w:type="dxa"/>
            <w:vMerge w:val="restart"/>
            <w:noWrap w:val="0"/>
            <w:vAlign w:val="center"/>
          </w:tcPr>
          <w:p>
            <w:pPr>
              <w:ind w:firstLine="0" w:firstLineChars="0"/>
              <w:jc w:val="center"/>
              <w:rPr>
                <w:rFonts w:ascii="宋体" w:hAnsi="宋体"/>
                <w:b/>
                <w:bCs/>
                <w:color w:val="auto"/>
                <w:sz w:val="24"/>
              </w:rPr>
            </w:pPr>
            <w:r>
              <w:rPr>
                <w:rFonts w:hint="eastAsia" w:ascii="宋体" w:hAnsi="宋体" w:eastAsia="宋体" w:cs="宋体"/>
                <w:bCs/>
                <w:color w:val="000000"/>
                <w:sz w:val="24"/>
                <w:lang w:val="zh-CN"/>
              </w:rPr>
              <w:t>★</w:t>
            </w:r>
            <w:r>
              <w:rPr>
                <w:rFonts w:hint="eastAsia" w:ascii="宋体" w:hAnsi="宋体"/>
                <w:b/>
                <w:bCs/>
                <w:color w:val="auto"/>
                <w:sz w:val="24"/>
              </w:rPr>
              <w:t>电话交换功能</w:t>
            </w:r>
          </w:p>
        </w:tc>
        <w:tc>
          <w:tcPr>
            <w:tcW w:w="6567" w:type="dxa"/>
            <w:noWrap w:val="0"/>
            <w:vAlign w:val="center"/>
          </w:tcPr>
          <w:p>
            <w:pPr>
              <w:numPr>
                <w:ilvl w:val="0"/>
                <w:numId w:val="7"/>
              </w:numPr>
              <w:ind w:firstLine="0" w:firstLineChars="0"/>
              <w:rPr>
                <w:rFonts w:ascii="宋体" w:hAnsi="宋体"/>
                <w:color w:val="auto"/>
              </w:rPr>
            </w:pPr>
            <w:r>
              <w:rPr>
                <w:rFonts w:hint="eastAsia" w:ascii="宋体" w:hAnsi="宋体"/>
                <w:color w:val="auto"/>
              </w:rPr>
              <w:t>电话呼转：当用户与座席A通话时，座席A可通过系统将用户来电直接转接给座席B，也可将用户来电直接转接给外部电话（包括手机、座席）；系统具有座席人员直接输入需要转接号码的快捷输入框，该输入框支持内部分机号码和外部号码。电话呼转，还支持将用户来电转入系统IVR流程、队列、放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36" w:type="dxa"/>
            <w:tcBorders>
              <w:top w:val="single" w:color="auto" w:sz="4" w:space="0"/>
              <w:left w:val="single" w:color="auto" w:sz="4" w:space="0"/>
              <w:bottom w:val="single" w:color="auto" w:sz="4" w:space="0"/>
            </w:tcBorders>
            <w:noWrap w:val="0"/>
            <w:vAlign w:val="center"/>
          </w:tcPr>
          <w:p>
            <w:pPr>
              <w:ind w:firstLine="0" w:firstLineChars="0"/>
              <w:jc w:val="center"/>
              <w:rPr>
                <w:rFonts w:ascii="宋体" w:hAnsi="宋体"/>
                <w:b/>
                <w:bCs/>
                <w:color w:val="auto"/>
                <w:sz w:val="24"/>
              </w:rPr>
            </w:pPr>
            <w:r>
              <w:rPr>
                <w:rFonts w:hint="eastAsia" w:ascii="宋体" w:hAnsi="宋体"/>
                <w:b/>
                <w:bCs/>
                <w:color w:val="auto"/>
                <w:sz w:val="24"/>
              </w:rPr>
              <w:t>11</w:t>
            </w:r>
          </w:p>
        </w:tc>
        <w:tc>
          <w:tcPr>
            <w:tcW w:w="1450" w:type="dxa"/>
            <w:vMerge w:val="continue"/>
            <w:noWrap w:val="0"/>
            <w:vAlign w:val="center"/>
          </w:tcPr>
          <w:p>
            <w:pPr>
              <w:ind w:firstLine="0" w:firstLineChars="0"/>
              <w:jc w:val="center"/>
              <w:rPr>
                <w:rFonts w:ascii="宋体" w:hAnsi="宋体"/>
                <w:b/>
                <w:bCs/>
                <w:color w:val="auto"/>
                <w:sz w:val="24"/>
              </w:rPr>
            </w:pPr>
          </w:p>
        </w:tc>
        <w:tc>
          <w:tcPr>
            <w:tcW w:w="6567" w:type="dxa"/>
            <w:tcBorders>
              <w:top w:val="single" w:color="auto" w:sz="4" w:space="0"/>
              <w:bottom w:val="single" w:color="auto" w:sz="4" w:space="0"/>
              <w:right w:val="single" w:color="auto" w:sz="4" w:space="0"/>
            </w:tcBorders>
            <w:noWrap w:val="0"/>
            <w:vAlign w:val="center"/>
          </w:tcPr>
          <w:p>
            <w:pPr>
              <w:numPr>
                <w:ilvl w:val="0"/>
                <w:numId w:val="7"/>
              </w:numPr>
              <w:ind w:firstLine="0" w:firstLineChars="0"/>
              <w:rPr>
                <w:rFonts w:ascii="宋体" w:hAnsi="宋体"/>
                <w:color w:val="auto"/>
              </w:rPr>
            </w:pPr>
            <w:r>
              <w:rPr>
                <w:rFonts w:hint="eastAsia" w:ascii="宋体" w:hAnsi="宋体"/>
                <w:color w:val="auto"/>
              </w:rPr>
              <w:t>呼出：座席可通过座席分机电话直接进行外呼。系统具有座席直接通过电话拨号</w:t>
            </w:r>
            <w:r>
              <w:rPr>
                <w:rFonts w:hint="eastAsia" w:ascii="宋体" w:hAnsi="宋体"/>
                <w:color w:val="auto"/>
                <w:highlight w:val="none"/>
                <w:lang w:eastAsia="zh-CN"/>
              </w:rPr>
              <w:t>及</w:t>
            </w:r>
            <w:r>
              <w:rPr>
                <w:rFonts w:hint="eastAsia" w:ascii="宋体" w:hAnsi="宋体"/>
                <w:color w:val="auto"/>
              </w:rPr>
              <w:t>直接在系统中输入号码完成外呼两种方式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36" w:type="dxa"/>
            <w:tcBorders>
              <w:top w:val="single" w:color="auto" w:sz="4" w:space="0"/>
              <w:left w:val="single" w:color="auto" w:sz="4" w:space="0"/>
              <w:bottom w:val="single" w:color="auto" w:sz="4" w:space="0"/>
            </w:tcBorders>
            <w:noWrap w:val="0"/>
            <w:vAlign w:val="center"/>
          </w:tcPr>
          <w:p>
            <w:pPr>
              <w:ind w:firstLine="0" w:firstLineChars="0"/>
              <w:jc w:val="center"/>
              <w:rPr>
                <w:rFonts w:ascii="宋体" w:hAnsi="宋体"/>
                <w:b/>
                <w:bCs/>
                <w:color w:val="auto"/>
                <w:sz w:val="24"/>
              </w:rPr>
            </w:pPr>
            <w:r>
              <w:rPr>
                <w:rFonts w:hint="eastAsia" w:ascii="宋体" w:hAnsi="宋体"/>
                <w:b/>
                <w:bCs/>
                <w:color w:val="auto"/>
                <w:sz w:val="24"/>
              </w:rPr>
              <w:t>12</w:t>
            </w:r>
          </w:p>
        </w:tc>
        <w:tc>
          <w:tcPr>
            <w:tcW w:w="1450" w:type="dxa"/>
            <w:vMerge w:val="continue"/>
            <w:noWrap w:val="0"/>
            <w:vAlign w:val="center"/>
          </w:tcPr>
          <w:p>
            <w:pPr>
              <w:ind w:firstLine="0" w:firstLineChars="0"/>
              <w:jc w:val="center"/>
              <w:rPr>
                <w:rFonts w:ascii="宋体" w:hAnsi="宋体"/>
                <w:b/>
                <w:bCs/>
                <w:color w:val="auto"/>
                <w:sz w:val="24"/>
              </w:rPr>
            </w:pPr>
          </w:p>
        </w:tc>
        <w:tc>
          <w:tcPr>
            <w:tcW w:w="6567" w:type="dxa"/>
            <w:tcBorders>
              <w:top w:val="single" w:color="auto" w:sz="4" w:space="0"/>
              <w:bottom w:val="single" w:color="auto" w:sz="4" w:space="0"/>
              <w:right w:val="single" w:color="auto" w:sz="4" w:space="0"/>
            </w:tcBorders>
            <w:noWrap w:val="0"/>
            <w:vAlign w:val="center"/>
          </w:tcPr>
          <w:p>
            <w:pPr>
              <w:numPr>
                <w:ilvl w:val="0"/>
                <w:numId w:val="7"/>
              </w:numPr>
              <w:ind w:firstLine="0" w:firstLineChars="0"/>
              <w:rPr>
                <w:rFonts w:ascii="宋体" w:hAnsi="宋体"/>
                <w:color w:val="auto"/>
              </w:rPr>
            </w:pPr>
            <w:r>
              <w:rPr>
                <w:rFonts w:hint="eastAsia" w:ascii="宋体" w:hAnsi="宋体"/>
                <w:color w:val="auto"/>
              </w:rPr>
              <w:t>拦截：系统具有电话拦截功能。座席B电话振铃时无人接听，则座席A在系统提供的输入框中直接输入座席B的分机号，即可完成对该呼入电话的拦截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36" w:type="dxa"/>
            <w:tcBorders>
              <w:top w:val="single" w:color="auto" w:sz="4" w:space="0"/>
              <w:left w:val="single" w:color="auto" w:sz="4" w:space="0"/>
              <w:bottom w:val="single" w:color="auto" w:sz="4" w:space="0"/>
            </w:tcBorders>
            <w:noWrap w:val="0"/>
            <w:vAlign w:val="center"/>
          </w:tcPr>
          <w:p>
            <w:pPr>
              <w:ind w:firstLine="0" w:firstLineChars="0"/>
              <w:jc w:val="center"/>
              <w:rPr>
                <w:rFonts w:ascii="宋体" w:hAnsi="宋体"/>
                <w:b/>
                <w:bCs/>
                <w:color w:val="auto"/>
                <w:sz w:val="24"/>
              </w:rPr>
            </w:pPr>
            <w:r>
              <w:rPr>
                <w:rFonts w:hint="eastAsia" w:ascii="宋体" w:hAnsi="宋体"/>
                <w:b/>
                <w:bCs/>
                <w:color w:val="auto"/>
                <w:sz w:val="24"/>
              </w:rPr>
              <w:t>13</w:t>
            </w:r>
          </w:p>
        </w:tc>
        <w:tc>
          <w:tcPr>
            <w:tcW w:w="1450" w:type="dxa"/>
            <w:vMerge w:val="continue"/>
            <w:noWrap w:val="0"/>
            <w:vAlign w:val="center"/>
          </w:tcPr>
          <w:p>
            <w:pPr>
              <w:ind w:firstLine="0" w:firstLineChars="0"/>
              <w:jc w:val="center"/>
              <w:rPr>
                <w:rFonts w:ascii="宋体" w:hAnsi="宋体"/>
                <w:b/>
                <w:bCs/>
                <w:color w:val="auto"/>
                <w:sz w:val="24"/>
              </w:rPr>
            </w:pPr>
          </w:p>
        </w:tc>
        <w:tc>
          <w:tcPr>
            <w:tcW w:w="6567" w:type="dxa"/>
            <w:tcBorders>
              <w:top w:val="single" w:color="auto" w:sz="4" w:space="0"/>
              <w:bottom w:val="single" w:color="auto" w:sz="4" w:space="0"/>
              <w:right w:val="single" w:color="auto" w:sz="4" w:space="0"/>
            </w:tcBorders>
            <w:noWrap w:val="0"/>
            <w:vAlign w:val="center"/>
          </w:tcPr>
          <w:p>
            <w:pPr>
              <w:numPr>
                <w:ilvl w:val="0"/>
                <w:numId w:val="7"/>
              </w:numPr>
              <w:ind w:firstLine="0" w:firstLineChars="0"/>
              <w:rPr>
                <w:rFonts w:ascii="宋体" w:hAnsi="宋体"/>
                <w:color w:val="auto"/>
              </w:rPr>
            </w:pPr>
            <w:r>
              <w:rPr>
                <w:rFonts w:hint="eastAsia" w:ascii="宋体" w:hAnsi="宋体"/>
                <w:color w:val="auto"/>
              </w:rPr>
              <w:t>监听：系统具有监听功能。有监听权限的座席直接点击需要监听的座席分机，即可监听该座席通话，且被监听方无法察觉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36" w:type="dxa"/>
            <w:tcBorders>
              <w:top w:val="single" w:color="auto" w:sz="4" w:space="0"/>
              <w:left w:val="single" w:color="auto" w:sz="4" w:space="0"/>
              <w:bottom w:val="single" w:color="auto" w:sz="4" w:space="0"/>
            </w:tcBorders>
            <w:noWrap w:val="0"/>
            <w:vAlign w:val="center"/>
          </w:tcPr>
          <w:p>
            <w:pPr>
              <w:ind w:firstLine="0" w:firstLineChars="0"/>
              <w:jc w:val="center"/>
              <w:rPr>
                <w:rFonts w:ascii="宋体" w:hAnsi="宋体"/>
                <w:b/>
                <w:bCs/>
                <w:color w:val="auto"/>
                <w:sz w:val="24"/>
              </w:rPr>
            </w:pPr>
            <w:r>
              <w:rPr>
                <w:rFonts w:hint="eastAsia" w:ascii="宋体" w:hAnsi="宋体"/>
                <w:b/>
                <w:bCs/>
                <w:color w:val="auto"/>
                <w:sz w:val="24"/>
              </w:rPr>
              <w:t>14</w:t>
            </w:r>
          </w:p>
        </w:tc>
        <w:tc>
          <w:tcPr>
            <w:tcW w:w="1450" w:type="dxa"/>
            <w:vMerge w:val="continue"/>
            <w:noWrap w:val="0"/>
            <w:vAlign w:val="center"/>
          </w:tcPr>
          <w:p>
            <w:pPr>
              <w:ind w:firstLine="0" w:firstLineChars="0"/>
              <w:jc w:val="center"/>
              <w:rPr>
                <w:rFonts w:ascii="宋体" w:hAnsi="宋体"/>
                <w:b/>
                <w:bCs/>
                <w:color w:val="auto"/>
                <w:sz w:val="24"/>
              </w:rPr>
            </w:pPr>
          </w:p>
        </w:tc>
        <w:tc>
          <w:tcPr>
            <w:tcW w:w="6567" w:type="dxa"/>
            <w:tcBorders>
              <w:top w:val="single" w:color="auto" w:sz="4" w:space="0"/>
              <w:bottom w:val="single" w:color="auto" w:sz="4" w:space="0"/>
              <w:right w:val="single" w:color="auto" w:sz="4" w:space="0"/>
            </w:tcBorders>
            <w:noWrap w:val="0"/>
            <w:vAlign w:val="center"/>
          </w:tcPr>
          <w:p>
            <w:pPr>
              <w:numPr>
                <w:ilvl w:val="0"/>
                <w:numId w:val="7"/>
              </w:numPr>
              <w:ind w:firstLine="0" w:firstLineChars="0"/>
              <w:rPr>
                <w:rFonts w:ascii="宋体" w:hAnsi="宋体"/>
                <w:color w:val="auto"/>
              </w:rPr>
            </w:pPr>
            <w:r>
              <w:rPr>
                <w:rFonts w:hint="eastAsia" w:ascii="宋体" w:hAnsi="宋体"/>
                <w:color w:val="auto"/>
              </w:rPr>
              <w:t>强插：系统具有强插功能。有强插权限的座席A点选正在通话的座席分机B，选择强插功能，即可强行插入座席B的当前通话，且座席B无法继续当前通话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36" w:type="dxa"/>
            <w:tcBorders>
              <w:top w:val="single" w:color="auto" w:sz="4" w:space="0"/>
              <w:left w:val="single" w:color="auto" w:sz="4" w:space="0"/>
              <w:bottom w:val="single" w:color="auto" w:sz="4" w:space="0"/>
            </w:tcBorders>
            <w:noWrap w:val="0"/>
            <w:vAlign w:val="center"/>
          </w:tcPr>
          <w:p>
            <w:pPr>
              <w:ind w:firstLine="0" w:firstLineChars="0"/>
              <w:jc w:val="center"/>
              <w:rPr>
                <w:rFonts w:ascii="宋体" w:hAnsi="宋体"/>
                <w:b/>
                <w:bCs/>
                <w:color w:val="auto"/>
                <w:sz w:val="24"/>
              </w:rPr>
            </w:pPr>
            <w:r>
              <w:rPr>
                <w:rFonts w:hint="eastAsia" w:ascii="宋体" w:hAnsi="宋体"/>
                <w:b/>
                <w:bCs/>
                <w:color w:val="auto"/>
                <w:sz w:val="24"/>
              </w:rPr>
              <w:t>15</w:t>
            </w:r>
          </w:p>
        </w:tc>
        <w:tc>
          <w:tcPr>
            <w:tcW w:w="1450" w:type="dxa"/>
            <w:vMerge w:val="continue"/>
            <w:noWrap w:val="0"/>
            <w:vAlign w:val="center"/>
          </w:tcPr>
          <w:p>
            <w:pPr>
              <w:ind w:firstLine="0" w:firstLineChars="0"/>
              <w:jc w:val="center"/>
              <w:rPr>
                <w:rFonts w:ascii="宋体" w:hAnsi="宋体"/>
                <w:b/>
                <w:bCs/>
                <w:color w:val="auto"/>
                <w:sz w:val="24"/>
              </w:rPr>
            </w:pPr>
          </w:p>
        </w:tc>
        <w:tc>
          <w:tcPr>
            <w:tcW w:w="6567" w:type="dxa"/>
            <w:tcBorders>
              <w:top w:val="single" w:color="auto" w:sz="4" w:space="0"/>
              <w:bottom w:val="single" w:color="auto" w:sz="4" w:space="0"/>
              <w:right w:val="single" w:color="auto" w:sz="4" w:space="0"/>
            </w:tcBorders>
            <w:noWrap w:val="0"/>
            <w:vAlign w:val="center"/>
          </w:tcPr>
          <w:p>
            <w:pPr>
              <w:numPr>
                <w:ilvl w:val="0"/>
                <w:numId w:val="7"/>
              </w:numPr>
              <w:ind w:firstLine="0" w:firstLineChars="0"/>
              <w:rPr>
                <w:rFonts w:ascii="宋体" w:hAnsi="宋体"/>
                <w:color w:val="auto"/>
              </w:rPr>
            </w:pPr>
            <w:r>
              <w:rPr>
                <w:rFonts w:hint="eastAsia" w:ascii="宋体" w:hAnsi="宋体"/>
                <w:color w:val="auto"/>
              </w:rPr>
              <w:t>强拆：系统具有强拆功能。有强拆权限的座席A点选正在通话的座席分机B，选择强拆功能，即可强行拆除座席B的当前通话，且座席</w:t>
            </w:r>
            <w:r>
              <w:rPr>
                <w:rFonts w:hint="eastAsia" w:ascii="宋体" w:hAnsi="宋体"/>
                <w:color w:val="auto"/>
                <w:highlight w:val="none"/>
              </w:rPr>
              <w:t>A、</w:t>
            </w:r>
            <w:r>
              <w:rPr>
                <w:rFonts w:hint="eastAsia" w:ascii="宋体" w:hAnsi="宋体"/>
                <w:color w:val="auto"/>
              </w:rPr>
              <w:t>B均无法继续当前通话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36" w:type="dxa"/>
            <w:tcBorders>
              <w:top w:val="single" w:color="auto" w:sz="4" w:space="0"/>
              <w:left w:val="single" w:color="auto" w:sz="4" w:space="0"/>
              <w:bottom w:val="single" w:color="auto" w:sz="4" w:space="0"/>
            </w:tcBorders>
            <w:noWrap w:val="0"/>
            <w:vAlign w:val="center"/>
          </w:tcPr>
          <w:p>
            <w:pPr>
              <w:ind w:firstLine="0" w:firstLineChars="0"/>
              <w:jc w:val="center"/>
              <w:rPr>
                <w:rFonts w:ascii="宋体" w:hAnsi="宋体"/>
                <w:b/>
                <w:bCs/>
                <w:color w:val="auto"/>
                <w:sz w:val="24"/>
              </w:rPr>
            </w:pPr>
            <w:r>
              <w:rPr>
                <w:rFonts w:hint="eastAsia" w:ascii="宋体" w:hAnsi="宋体"/>
                <w:b/>
                <w:bCs/>
                <w:color w:val="auto"/>
                <w:sz w:val="24"/>
              </w:rPr>
              <w:t>16</w:t>
            </w:r>
          </w:p>
        </w:tc>
        <w:tc>
          <w:tcPr>
            <w:tcW w:w="1450" w:type="dxa"/>
            <w:vMerge w:val="continue"/>
            <w:noWrap w:val="0"/>
            <w:vAlign w:val="center"/>
          </w:tcPr>
          <w:p>
            <w:pPr>
              <w:ind w:firstLine="0" w:firstLineChars="0"/>
              <w:jc w:val="center"/>
              <w:rPr>
                <w:rFonts w:ascii="宋体" w:hAnsi="宋体"/>
                <w:b/>
                <w:bCs/>
                <w:color w:val="auto"/>
                <w:sz w:val="24"/>
              </w:rPr>
            </w:pPr>
          </w:p>
        </w:tc>
        <w:tc>
          <w:tcPr>
            <w:tcW w:w="6567" w:type="dxa"/>
            <w:tcBorders>
              <w:top w:val="single" w:color="auto" w:sz="4" w:space="0"/>
              <w:bottom w:val="single" w:color="auto" w:sz="4" w:space="0"/>
              <w:right w:val="single" w:color="auto" w:sz="4" w:space="0"/>
            </w:tcBorders>
            <w:noWrap w:val="0"/>
            <w:vAlign w:val="center"/>
          </w:tcPr>
          <w:p>
            <w:pPr>
              <w:numPr>
                <w:ilvl w:val="0"/>
                <w:numId w:val="7"/>
              </w:numPr>
              <w:ind w:firstLine="0" w:firstLineChars="0"/>
              <w:rPr>
                <w:rFonts w:ascii="宋体" w:hAnsi="宋体"/>
                <w:color w:val="auto"/>
              </w:rPr>
            </w:pPr>
            <w:r>
              <w:rPr>
                <w:rFonts w:hint="eastAsia" w:ascii="宋体" w:hAnsi="宋体"/>
                <w:color w:val="auto"/>
              </w:rPr>
              <w:t>通话保持：系统具有通话保持功能。座席A与用户B通话过程中，座席A点选系统提供的通话保持按钮，即可保持当前通话。通话保持后，座席A可以接听另外一个电话呼入，也可发起另外的呼叫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宋体" w:hAnsi="宋体"/>
                <w:b/>
                <w:bCs/>
                <w:color w:val="auto"/>
                <w:sz w:val="24"/>
              </w:rPr>
            </w:pPr>
            <w:r>
              <w:rPr>
                <w:rFonts w:hint="eastAsia" w:ascii="宋体" w:hAnsi="宋体"/>
                <w:b/>
                <w:bCs/>
                <w:color w:val="auto"/>
                <w:sz w:val="24"/>
              </w:rPr>
              <w:t>17</w:t>
            </w:r>
          </w:p>
        </w:tc>
        <w:tc>
          <w:tcPr>
            <w:tcW w:w="1450" w:type="dxa"/>
            <w:vMerge w:val="continue"/>
            <w:tcBorders>
              <w:bottom w:val="single" w:color="auto" w:sz="4" w:space="0"/>
            </w:tcBorders>
            <w:noWrap w:val="0"/>
            <w:vAlign w:val="center"/>
          </w:tcPr>
          <w:p>
            <w:pPr>
              <w:ind w:firstLine="0" w:firstLineChars="0"/>
              <w:jc w:val="center"/>
              <w:rPr>
                <w:rFonts w:ascii="宋体" w:hAnsi="宋体"/>
                <w:b/>
                <w:bCs/>
                <w:color w:val="auto"/>
                <w:sz w:val="24"/>
              </w:rPr>
            </w:pPr>
          </w:p>
        </w:tc>
        <w:tc>
          <w:tcPr>
            <w:tcW w:w="6567" w:type="dxa"/>
            <w:tcBorders>
              <w:top w:val="single" w:color="auto" w:sz="4" w:space="0"/>
              <w:bottom w:val="single" w:color="auto" w:sz="4" w:space="0"/>
              <w:right w:val="single" w:color="auto" w:sz="4" w:space="0"/>
            </w:tcBorders>
            <w:noWrap w:val="0"/>
            <w:vAlign w:val="center"/>
          </w:tcPr>
          <w:p>
            <w:pPr>
              <w:numPr>
                <w:ilvl w:val="0"/>
                <w:numId w:val="7"/>
              </w:numPr>
              <w:ind w:firstLine="0" w:firstLineChars="0"/>
              <w:rPr>
                <w:rFonts w:ascii="宋体" w:hAnsi="宋体"/>
                <w:color w:val="auto"/>
              </w:rPr>
            </w:pPr>
            <w:r>
              <w:rPr>
                <w:rFonts w:hint="eastAsia" w:ascii="宋体" w:hAnsi="宋体"/>
                <w:color w:val="auto"/>
              </w:rPr>
              <w:t>首接责任机制：系统具有电话首接责任机制。用户A首次呼入系统时由座席B为其提供服务，则在某个限定的时间内，当用户A再次呼入系统选择人工服务时，若座席B为空闲状态，则直接将用户A的来电分配给座席B接听。该限制时间可由系统管理员随时更改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36" w:type="dxa"/>
            <w:noWrap w:val="0"/>
            <w:vAlign w:val="center"/>
          </w:tcPr>
          <w:p>
            <w:pPr>
              <w:ind w:firstLine="0" w:firstLineChars="0"/>
              <w:jc w:val="center"/>
              <w:rPr>
                <w:rFonts w:ascii="宋体" w:hAnsi="宋体"/>
                <w:b/>
                <w:bCs/>
                <w:color w:val="auto"/>
                <w:sz w:val="24"/>
              </w:rPr>
            </w:pPr>
            <w:r>
              <w:rPr>
                <w:rFonts w:hint="eastAsia" w:ascii="宋体" w:hAnsi="宋体"/>
                <w:b/>
                <w:bCs/>
                <w:color w:val="auto"/>
                <w:sz w:val="24"/>
              </w:rPr>
              <w:t>18</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宋体" w:hAnsi="宋体"/>
                <w:b/>
                <w:bCs/>
                <w:color w:val="auto"/>
                <w:sz w:val="24"/>
              </w:rPr>
            </w:pPr>
            <w:r>
              <w:rPr>
                <w:rFonts w:hint="eastAsia" w:ascii="宋体" w:hAnsi="宋体" w:eastAsia="宋体" w:cs="宋体"/>
                <w:bCs/>
                <w:color w:val="000000"/>
                <w:sz w:val="24"/>
                <w:lang w:val="zh-CN"/>
              </w:rPr>
              <w:t>★</w:t>
            </w:r>
            <w:r>
              <w:rPr>
                <w:rFonts w:hint="eastAsia" w:ascii="宋体" w:hAnsi="宋体"/>
                <w:b/>
                <w:bCs/>
                <w:color w:val="auto"/>
                <w:sz w:val="24"/>
              </w:rPr>
              <w:t>通话录音</w:t>
            </w:r>
          </w:p>
        </w:tc>
        <w:tc>
          <w:tcPr>
            <w:tcW w:w="6567"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firstLine="0" w:firstLineChars="0"/>
              <w:rPr>
                <w:rFonts w:ascii="宋体" w:hAnsi="宋体"/>
                <w:color w:val="auto"/>
              </w:rPr>
            </w:pPr>
            <w:r>
              <w:rPr>
                <w:rFonts w:hint="eastAsia" w:ascii="宋体" w:hAnsi="宋体"/>
                <w:color w:val="auto"/>
              </w:rPr>
              <w:t>无论是用户呼入，座席呼出，还是座席内部通话，只要是经过系统的通话，系统均可进行录音。录音文件名由主叫号码、被叫号码、通话发起时间（具体到秒），</w:t>
            </w:r>
            <w:r>
              <w:rPr>
                <w:rFonts w:hint="eastAsia" w:ascii="宋体" w:hAnsi="宋体"/>
                <w:color w:val="auto"/>
                <w:lang w:eastAsia="zh-CN"/>
              </w:rPr>
              <w:t>可精确查询；</w:t>
            </w:r>
            <w:r>
              <w:rPr>
                <w:rFonts w:hint="eastAsia" w:ascii="宋体" w:hAnsi="宋体"/>
                <w:color w:val="auto"/>
              </w:rPr>
              <w:t>以及唯一的ID号组成。录音文件通过</w:t>
            </w:r>
            <w:r>
              <w:rPr>
                <w:rFonts w:hint="eastAsia" w:ascii="宋体" w:hAnsi="宋体"/>
                <w:color w:val="auto"/>
                <w:lang w:val="en-US" w:eastAsia="zh-CN"/>
              </w:rPr>
              <w:t>WAV格式下载</w:t>
            </w:r>
            <w:r>
              <w:rPr>
                <w:rFonts w:hint="eastAsia" w:ascii="宋体" w:hAnsi="宋体"/>
                <w:color w:val="auto"/>
              </w:rPr>
              <w:t>，可以定时由呼叫中心服务器上传至专用录音服务器进行备份</w:t>
            </w:r>
            <w:r>
              <w:rPr>
                <w:rFonts w:hint="eastAsia" w:ascii="宋体" w:hAnsi="宋体"/>
                <w:color w:val="auto"/>
                <w:lang w:eastAsia="zh-CN"/>
              </w:rPr>
              <w:t>。</w:t>
            </w:r>
            <w:r>
              <w:rPr>
                <w:rFonts w:hint="eastAsia" w:ascii="宋体" w:hAnsi="宋体"/>
                <w:color w:val="0000FF"/>
                <w:lang w:eastAsia="zh-CN"/>
              </w:rPr>
              <w:t>全通话录音保存，录音文件保存一年。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36" w:type="dxa"/>
            <w:noWrap w:val="0"/>
            <w:vAlign w:val="center"/>
          </w:tcPr>
          <w:p>
            <w:pPr>
              <w:ind w:firstLine="0" w:firstLineChars="0"/>
              <w:jc w:val="center"/>
              <w:rPr>
                <w:rFonts w:ascii="宋体" w:hAnsi="宋体"/>
                <w:b/>
                <w:bCs/>
                <w:color w:val="auto"/>
                <w:sz w:val="24"/>
              </w:rPr>
            </w:pPr>
            <w:r>
              <w:rPr>
                <w:rFonts w:hint="eastAsia" w:ascii="宋体" w:hAnsi="宋体"/>
                <w:b/>
                <w:bCs/>
                <w:color w:val="auto"/>
                <w:sz w:val="24"/>
              </w:rPr>
              <w:t>19</w:t>
            </w:r>
          </w:p>
        </w:tc>
        <w:tc>
          <w:tcPr>
            <w:tcW w:w="1450" w:type="dxa"/>
            <w:noWrap w:val="0"/>
            <w:vAlign w:val="center"/>
          </w:tcPr>
          <w:p>
            <w:pPr>
              <w:ind w:firstLine="0" w:firstLineChars="0"/>
              <w:jc w:val="center"/>
              <w:rPr>
                <w:rFonts w:ascii="宋体" w:hAnsi="宋体"/>
                <w:b/>
                <w:bCs/>
                <w:color w:val="auto"/>
                <w:sz w:val="24"/>
              </w:rPr>
            </w:pPr>
            <w:r>
              <w:rPr>
                <w:rFonts w:hint="eastAsia" w:ascii="宋体" w:hAnsi="宋体"/>
                <w:b/>
                <w:bCs/>
                <w:color w:val="auto"/>
                <w:sz w:val="24"/>
              </w:rPr>
              <w:t>语音留言信箱</w:t>
            </w:r>
          </w:p>
        </w:tc>
        <w:tc>
          <w:tcPr>
            <w:tcW w:w="6567" w:type="dxa"/>
            <w:noWrap w:val="0"/>
            <w:vAlign w:val="center"/>
          </w:tcPr>
          <w:p>
            <w:pPr>
              <w:numPr>
                <w:ilvl w:val="0"/>
                <w:numId w:val="7"/>
              </w:numPr>
              <w:ind w:firstLine="0" w:firstLineChars="0"/>
              <w:rPr>
                <w:rFonts w:ascii="宋体" w:hAnsi="宋体"/>
                <w:color w:val="auto"/>
              </w:rPr>
            </w:pPr>
            <w:r>
              <w:rPr>
                <w:rFonts w:hint="eastAsia" w:ascii="宋体" w:hAnsi="宋体"/>
                <w:color w:val="auto"/>
              </w:rPr>
              <w:t>系统</w:t>
            </w:r>
            <w:r>
              <w:rPr>
                <w:rFonts w:hint="eastAsia" w:ascii="宋体" w:hAnsi="宋体"/>
                <w:color w:val="auto"/>
                <w:lang w:val="en-US" w:eastAsia="zh-CN"/>
              </w:rPr>
              <w:t>需</w:t>
            </w:r>
            <w:r>
              <w:rPr>
                <w:rFonts w:hint="eastAsia" w:ascii="宋体" w:hAnsi="宋体"/>
                <w:color w:val="auto"/>
              </w:rPr>
              <w:t>具有24小时语音留言信箱功能（管理员可选择是否启用），可对语音留言在线点击播放</w:t>
            </w:r>
            <w:r>
              <w:rPr>
                <w:rFonts w:hint="eastAsia" w:ascii="宋体" w:hAnsi="宋体"/>
                <w:color w:val="auto"/>
                <w:lang w:eastAsia="zh-CN"/>
              </w:rPr>
              <w:t>，当客户打电话时间为下班时间，那么他可以选择留言。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36" w:type="dxa"/>
            <w:noWrap w:val="0"/>
            <w:vAlign w:val="center"/>
          </w:tcPr>
          <w:p>
            <w:pPr>
              <w:ind w:firstLine="0" w:firstLineChars="0"/>
              <w:jc w:val="center"/>
              <w:rPr>
                <w:rFonts w:ascii="宋体" w:hAnsi="宋体"/>
                <w:b/>
                <w:bCs/>
                <w:color w:val="auto"/>
                <w:sz w:val="24"/>
              </w:rPr>
            </w:pPr>
            <w:r>
              <w:rPr>
                <w:rFonts w:hint="eastAsia" w:ascii="宋体" w:hAnsi="宋体"/>
                <w:b/>
                <w:bCs/>
                <w:color w:val="auto"/>
                <w:sz w:val="24"/>
              </w:rPr>
              <w:t>20</w:t>
            </w:r>
          </w:p>
        </w:tc>
        <w:tc>
          <w:tcPr>
            <w:tcW w:w="1450" w:type="dxa"/>
            <w:noWrap w:val="0"/>
            <w:vAlign w:val="center"/>
          </w:tcPr>
          <w:p>
            <w:pPr>
              <w:ind w:firstLine="0" w:firstLineChars="0"/>
              <w:jc w:val="center"/>
              <w:rPr>
                <w:rFonts w:ascii="宋体" w:hAnsi="宋体"/>
                <w:b/>
                <w:bCs/>
                <w:color w:val="auto"/>
                <w:sz w:val="24"/>
              </w:rPr>
            </w:pPr>
            <w:r>
              <w:rPr>
                <w:rFonts w:hint="eastAsia" w:ascii="宋体" w:hAnsi="宋体"/>
                <w:b/>
                <w:bCs/>
                <w:color w:val="auto"/>
                <w:sz w:val="24"/>
                <w:lang w:eastAsia="zh-CN"/>
              </w:rPr>
              <w:t>工号</w:t>
            </w:r>
            <w:r>
              <w:rPr>
                <w:rFonts w:hint="eastAsia" w:ascii="宋体" w:hAnsi="宋体"/>
                <w:b/>
                <w:bCs/>
                <w:color w:val="auto"/>
                <w:sz w:val="24"/>
              </w:rPr>
              <w:t>报号</w:t>
            </w:r>
          </w:p>
        </w:tc>
        <w:tc>
          <w:tcPr>
            <w:tcW w:w="6567" w:type="dxa"/>
            <w:noWrap w:val="0"/>
            <w:vAlign w:val="center"/>
          </w:tcPr>
          <w:p>
            <w:pPr>
              <w:numPr>
                <w:ilvl w:val="0"/>
                <w:numId w:val="7"/>
              </w:numPr>
              <w:ind w:firstLine="0" w:firstLineChars="0"/>
              <w:rPr>
                <w:rFonts w:ascii="宋体" w:hAnsi="宋体"/>
                <w:color w:val="auto"/>
              </w:rPr>
            </w:pPr>
            <w:r>
              <w:rPr>
                <w:rFonts w:hint="eastAsia" w:ascii="宋体" w:hAnsi="宋体"/>
                <w:color w:val="auto"/>
              </w:rPr>
              <w:t>系统</w:t>
            </w:r>
            <w:r>
              <w:rPr>
                <w:rFonts w:hint="eastAsia" w:ascii="宋体" w:hAnsi="宋体"/>
                <w:color w:val="auto"/>
                <w:lang w:val="en-US" w:eastAsia="zh-CN"/>
              </w:rPr>
              <w:t>需</w:t>
            </w:r>
            <w:r>
              <w:rPr>
                <w:rFonts w:hint="eastAsia" w:ascii="宋体" w:hAnsi="宋体"/>
                <w:color w:val="auto"/>
              </w:rPr>
              <w:t>具有分机报号功能。人工服务时，系统自动提示“***话务员为您服务”，其中***可以为座席分机号码，也可以为座席姓名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36" w:type="dxa"/>
            <w:noWrap w:val="0"/>
            <w:vAlign w:val="center"/>
          </w:tcPr>
          <w:p>
            <w:pPr>
              <w:ind w:firstLine="0" w:firstLineChars="0"/>
              <w:jc w:val="center"/>
              <w:rPr>
                <w:rFonts w:ascii="宋体" w:hAnsi="宋体"/>
                <w:b/>
                <w:bCs/>
                <w:color w:val="auto"/>
                <w:sz w:val="24"/>
              </w:rPr>
            </w:pPr>
            <w:r>
              <w:rPr>
                <w:rFonts w:hint="eastAsia" w:ascii="宋体" w:hAnsi="宋体"/>
                <w:b/>
                <w:bCs/>
                <w:color w:val="auto"/>
                <w:sz w:val="24"/>
              </w:rPr>
              <w:t>21</w:t>
            </w:r>
          </w:p>
        </w:tc>
        <w:tc>
          <w:tcPr>
            <w:tcW w:w="1450" w:type="dxa"/>
            <w:noWrap w:val="0"/>
            <w:vAlign w:val="center"/>
          </w:tcPr>
          <w:p>
            <w:pPr>
              <w:ind w:firstLine="0" w:firstLineChars="0"/>
              <w:jc w:val="center"/>
              <w:rPr>
                <w:rFonts w:ascii="宋体" w:hAnsi="宋体"/>
                <w:b/>
                <w:bCs/>
                <w:color w:val="auto"/>
                <w:sz w:val="24"/>
              </w:rPr>
            </w:pPr>
            <w:r>
              <w:rPr>
                <w:rFonts w:hint="eastAsia" w:ascii="宋体" w:hAnsi="宋体"/>
                <w:b/>
                <w:bCs/>
                <w:color w:val="auto"/>
                <w:sz w:val="24"/>
              </w:rPr>
              <w:t>满意度评价</w:t>
            </w:r>
          </w:p>
        </w:tc>
        <w:tc>
          <w:tcPr>
            <w:tcW w:w="6567" w:type="dxa"/>
            <w:noWrap w:val="0"/>
            <w:vAlign w:val="center"/>
          </w:tcPr>
          <w:p>
            <w:pPr>
              <w:numPr>
                <w:ilvl w:val="0"/>
                <w:numId w:val="7"/>
              </w:numPr>
              <w:ind w:firstLine="0" w:firstLineChars="0"/>
              <w:rPr>
                <w:rFonts w:ascii="宋体" w:hAnsi="宋体"/>
                <w:color w:val="auto"/>
              </w:rPr>
            </w:pPr>
            <w:r>
              <w:rPr>
                <w:rFonts w:hint="eastAsia" w:ascii="宋体" w:hAnsi="宋体"/>
                <w:color w:val="auto"/>
              </w:rPr>
              <w:t>系统</w:t>
            </w:r>
            <w:r>
              <w:rPr>
                <w:rFonts w:hint="eastAsia" w:ascii="宋体" w:hAnsi="宋体"/>
                <w:color w:val="auto"/>
                <w:lang w:val="en-US" w:eastAsia="zh-CN"/>
              </w:rPr>
              <w:t>需</w:t>
            </w:r>
            <w:r>
              <w:rPr>
                <w:rFonts w:hint="eastAsia" w:ascii="宋体" w:hAnsi="宋体"/>
                <w:color w:val="auto"/>
              </w:rPr>
              <w:t>具有用户来电满意度评价功能。用户呼入系统，通话完毕后，座席首先挂机，则系统将来电转入满意度评价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736" w:type="dxa"/>
            <w:noWrap w:val="0"/>
            <w:vAlign w:val="center"/>
          </w:tcPr>
          <w:p>
            <w:pPr>
              <w:ind w:firstLine="0" w:firstLineChars="0"/>
              <w:jc w:val="center"/>
              <w:rPr>
                <w:rFonts w:ascii="宋体" w:hAnsi="宋体"/>
                <w:b/>
                <w:bCs/>
                <w:color w:val="auto"/>
                <w:sz w:val="24"/>
              </w:rPr>
            </w:pPr>
            <w:r>
              <w:rPr>
                <w:rFonts w:hint="eastAsia" w:ascii="宋体" w:hAnsi="宋体"/>
                <w:b/>
                <w:bCs/>
                <w:color w:val="auto"/>
                <w:sz w:val="24"/>
                <w:lang w:val="en-US" w:eastAsia="zh-CN"/>
              </w:rPr>
              <w:t>22</w:t>
            </w:r>
          </w:p>
        </w:tc>
        <w:tc>
          <w:tcPr>
            <w:tcW w:w="1450" w:type="dxa"/>
            <w:noWrap w:val="0"/>
            <w:vAlign w:val="center"/>
          </w:tcPr>
          <w:p>
            <w:pPr>
              <w:ind w:firstLine="0" w:firstLineChars="0"/>
              <w:jc w:val="center"/>
              <w:rPr>
                <w:rFonts w:ascii="宋体" w:hAnsi="宋体"/>
                <w:b/>
                <w:bCs/>
                <w:color w:val="auto"/>
                <w:sz w:val="24"/>
              </w:rPr>
            </w:pPr>
            <w:r>
              <w:rPr>
                <w:rFonts w:hint="eastAsia" w:ascii="宋体" w:hAnsi="宋体"/>
                <w:b/>
                <w:bCs/>
                <w:color w:val="auto"/>
                <w:sz w:val="24"/>
              </w:rPr>
              <w:t>报表统计</w:t>
            </w:r>
          </w:p>
        </w:tc>
        <w:tc>
          <w:tcPr>
            <w:tcW w:w="6567" w:type="dxa"/>
            <w:noWrap w:val="0"/>
            <w:vAlign w:val="center"/>
          </w:tcPr>
          <w:p>
            <w:pPr>
              <w:numPr>
                <w:ilvl w:val="0"/>
                <w:numId w:val="7"/>
              </w:numPr>
              <w:ind w:firstLine="0" w:firstLineChars="0"/>
              <w:rPr>
                <w:rFonts w:ascii="宋体" w:hAnsi="宋体"/>
                <w:color w:val="auto"/>
              </w:rPr>
            </w:pPr>
            <w:r>
              <w:rPr>
                <w:rFonts w:hint="eastAsia" w:ascii="宋体" w:hAnsi="宋体"/>
                <w:color w:val="auto"/>
              </w:rPr>
              <w:t>报表统计中所有的呼叫事件，包括呼叫时间（精确到秒）、主叫号码、被叫号码、状态（座席接入、自助服务、失败）、通话时长、等待时长、呼入/呼出及对应录音文件的播放下载按钮。支持按时间范围、主叫号码、被叫号码、状态、时长（包括等待时长、通话时长）等单个条件或多条件查询，查询结果以表格和统计图两种形式显示</w:t>
            </w:r>
            <w:r>
              <w:rPr>
                <w:rFonts w:hint="eastAsia" w:ascii="宋体" w:hAnsi="宋体"/>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736" w:type="dxa"/>
            <w:noWrap w:val="0"/>
            <w:vAlign w:val="center"/>
          </w:tcPr>
          <w:p>
            <w:pPr>
              <w:ind w:firstLine="0" w:firstLineChars="0"/>
              <w:jc w:val="center"/>
              <w:rPr>
                <w:rFonts w:hint="eastAsia" w:ascii="宋体" w:hAnsi="宋体" w:eastAsia="宋体"/>
                <w:b/>
                <w:bCs/>
                <w:color w:val="auto"/>
                <w:sz w:val="24"/>
                <w:lang w:val="en-US" w:eastAsia="zh-CN"/>
              </w:rPr>
            </w:pPr>
            <w:r>
              <w:rPr>
                <w:rFonts w:hint="eastAsia" w:ascii="宋体" w:hAnsi="宋体"/>
                <w:b/>
                <w:bCs/>
                <w:color w:val="auto"/>
                <w:sz w:val="24"/>
                <w:lang w:val="en-US" w:eastAsia="zh-CN"/>
              </w:rPr>
              <w:t>23</w:t>
            </w:r>
          </w:p>
        </w:tc>
        <w:tc>
          <w:tcPr>
            <w:tcW w:w="1450" w:type="dxa"/>
            <w:noWrap w:val="0"/>
            <w:vAlign w:val="center"/>
          </w:tcPr>
          <w:p>
            <w:pPr>
              <w:ind w:firstLine="0" w:firstLineChars="0"/>
              <w:jc w:val="center"/>
              <w:rPr>
                <w:rFonts w:hint="eastAsia" w:ascii="宋体" w:hAnsi="宋体" w:eastAsia="宋体"/>
                <w:b/>
                <w:bCs/>
                <w:color w:val="auto"/>
                <w:sz w:val="24"/>
                <w:lang w:eastAsia="zh-CN"/>
              </w:rPr>
            </w:pPr>
            <w:r>
              <w:rPr>
                <w:rFonts w:hint="eastAsia" w:ascii="宋体" w:hAnsi="宋体"/>
                <w:b/>
                <w:bCs/>
                <w:color w:val="auto"/>
                <w:sz w:val="24"/>
                <w:lang w:eastAsia="zh-CN"/>
              </w:rPr>
              <w:t>短信模块</w:t>
            </w:r>
          </w:p>
        </w:tc>
        <w:tc>
          <w:tcPr>
            <w:tcW w:w="6567" w:type="dxa"/>
            <w:noWrap w:val="0"/>
            <w:vAlign w:val="center"/>
          </w:tcPr>
          <w:p>
            <w:pPr>
              <w:numPr>
                <w:ilvl w:val="0"/>
                <w:numId w:val="7"/>
              </w:numPr>
              <w:ind w:firstLine="0" w:firstLineChars="0"/>
              <w:rPr>
                <w:rFonts w:hint="eastAsia" w:ascii="宋体" w:hAnsi="宋体"/>
                <w:color w:val="auto"/>
              </w:rPr>
            </w:pPr>
            <w:r>
              <w:rPr>
                <w:rFonts w:hint="eastAsia" w:ascii="宋体" w:hAnsi="宋体"/>
                <w:color w:val="auto"/>
                <w:lang w:eastAsia="zh-CN"/>
              </w:rPr>
              <w:t>系统</w:t>
            </w:r>
            <w:r>
              <w:rPr>
                <w:rFonts w:hint="eastAsia" w:ascii="宋体" w:hAnsi="宋体"/>
                <w:color w:val="auto"/>
                <w:lang w:val="en-US" w:eastAsia="zh-CN"/>
              </w:rPr>
              <w:t>需</w:t>
            </w:r>
            <w:r>
              <w:rPr>
                <w:rFonts w:hint="eastAsia" w:ascii="宋体" w:hAnsi="宋体"/>
                <w:color w:val="auto"/>
                <w:lang w:eastAsia="zh-CN"/>
              </w:rPr>
              <w:t>有短信模块，可</w:t>
            </w:r>
            <w:r>
              <w:rPr>
                <w:rFonts w:hint="eastAsia" w:ascii="宋体" w:hAnsi="宋体"/>
                <w:color w:val="auto"/>
                <w:lang w:val="en-US" w:eastAsia="zh-CN"/>
              </w:rPr>
              <w:t>支持</w:t>
            </w:r>
            <w:r>
              <w:rPr>
                <w:rFonts w:hint="eastAsia" w:ascii="宋体" w:hAnsi="宋体"/>
                <w:color w:val="auto"/>
                <w:lang w:eastAsia="zh-CN"/>
              </w:rPr>
              <w:t>发送、接收短信；具备发件箱、收件箱等功能。短信可群发、可单条发送、可制作后短信模板直接发送。支持第三方放短信平台对接。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736" w:type="dxa"/>
            <w:noWrap w:val="0"/>
            <w:vAlign w:val="center"/>
          </w:tcPr>
          <w:p>
            <w:pPr>
              <w:ind w:firstLine="0" w:firstLineChars="0"/>
              <w:jc w:val="center"/>
              <w:rPr>
                <w:rFonts w:hint="eastAsia" w:ascii="宋体" w:hAnsi="宋体"/>
                <w:b/>
                <w:bCs/>
                <w:color w:val="auto"/>
                <w:sz w:val="24"/>
                <w:lang w:val="en-US" w:eastAsia="zh-CN"/>
              </w:rPr>
            </w:pPr>
            <w:r>
              <w:rPr>
                <w:rFonts w:hint="eastAsia" w:ascii="宋体" w:hAnsi="宋体"/>
                <w:b/>
                <w:bCs/>
                <w:color w:val="auto"/>
                <w:sz w:val="24"/>
                <w:lang w:val="en-US" w:eastAsia="zh-CN"/>
              </w:rPr>
              <w:t>24</w:t>
            </w:r>
          </w:p>
        </w:tc>
        <w:tc>
          <w:tcPr>
            <w:tcW w:w="1450" w:type="dxa"/>
            <w:noWrap w:val="0"/>
            <w:vAlign w:val="center"/>
          </w:tcPr>
          <w:p>
            <w:pPr>
              <w:ind w:firstLine="0" w:firstLineChars="0"/>
              <w:jc w:val="center"/>
              <w:rPr>
                <w:rFonts w:hint="eastAsia" w:ascii="宋体" w:hAnsi="宋体"/>
                <w:b/>
                <w:bCs/>
                <w:color w:val="auto"/>
                <w:sz w:val="24"/>
                <w:lang w:eastAsia="zh-CN"/>
              </w:rPr>
            </w:pPr>
            <w:r>
              <w:rPr>
                <w:rFonts w:hint="eastAsia" w:ascii="宋体" w:hAnsi="宋体" w:eastAsia="宋体" w:cs="宋体"/>
                <w:bCs/>
                <w:color w:val="000000"/>
                <w:sz w:val="24"/>
                <w:lang w:val="zh-CN"/>
              </w:rPr>
              <w:t>★</w:t>
            </w:r>
            <w:r>
              <w:rPr>
                <w:rFonts w:hint="eastAsia" w:ascii="宋体" w:hAnsi="宋体"/>
                <w:b/>
                <w:bCs/>
                <w:color w:val="auto"/>
                <w:sz w:val="24"/>
                <w:lang w:eastAsia="zh-CN"/>
              </w:rPr>
              <w:t>工单模块</w:t>
            </w:r>
          </w:p>
        </w:tc>
        <w:tc>
          <w:tcPr>
            <w:tcW w:w="6567" w:type="dxa"/>
            <w:noWrap w:val="0"/>
            <w:vAlign w:val="center"/>
          </w:tcPr>
          <w:p>
            <w:pPr>
              <w:numPr>
                <w:ilvl w:val="0"/>
                <w:numId w:val="7"/>
              </w:numPr>
              <w:ind w:firstLine="0" w:firstLineChars="0"/>
              <w:rPr>
                <w:rFonts w:hint="eastAsia" w:ascii="宋体" w:hAnsi="宋体"/>
                <w:color w:val="auto"/>
                <w:lang w:eastAsia="zh-CN"/>
              </w:rPr>
            </w:pPr>
            <w:r>
              <w:rPr>
                <w:rFonts w:hint="eastAsia" w:ascii="宋体" w:hAnsi="宋体"/>
                <w:color w:val="auto"/>
                <w:lang w:val="en-US" w:eastAsia="zh-CN"/>
              </w:rPr>
              <w:t>支持工单新建；可在来电弹屏页面新建工单；可指定流转环节；也可手动指定处理人；可根据工单内容分为不同处理类型，工单类型可自定义；工单统计分析；工单提出人（用户、内部同事、工单管理员等）或具有管理权限的角色可查看所有工单受理进度与回复状态；有任务时能提醒通知；工单派单（可以以短信、邮件放式派单，发送工单同时勾选短信或邮件即可实现）；系统生成独立工单编号；支持多次编辑；支持在</w:t>
            </w:r>
            <w:r>
              <w:rPr>
                <w:rFonts w:hint="eastAsia" w:ascii="宋体" w:hAnsi="宋体"/>
                <w:color w:val="auto"/>
                <w:lang w:eastAsia="zh-CN"/>
              </w:rPr>
              <w:t>工单收件箱和工单发件箱查看，并保留永久记录；每条工单的处理状态都可以按实际情况修改。如；已完成、待处理、处理中等；字段、流程都支持自定义、二次开发！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736" w:type="dxa"/>
            <w:noWrap w:val="0"/>
            <w:vAlign w:val="center"/>
          </w:tcPr>
          <w:p>
            <w:pPr>
              <w:ind w:firstLine="0" w:firstLineChars="0"/>
              <w:jc w:val="center"/>
              <w:rPr>
                <w:rFonts w:hint="eastAsia" w:ascii="宋体" w:hAnsi="宋体"/>
                <w:b/>
                <w:bCs/>
                <w:color w:val="auto"/>
                <w:sz w:val="24"/>
                <w:lang w:val="en-US" w:eastAsia="zh-CN"/>
              </w:rPr>
            </w:pPr>
            <w:r>
              <w:rPr>
                <w:rFonts w:hint="eastAsia" w:ascii="宋体" w:hAnsi="宋体"/>
                <w:b/>
                <w:bCs/>
                <w:color w:val="auto"/>
                <w:sz w:val="24"/>
                <w:lang w:val="en-US" w:eastAsia="zh-CN"/>
              </w:rPr>
              <w:t>25</w:t>
            </w:r>
          </w:p>
        </w:tc>
        <w:tc>
          <w:tcPr>
            <w:tcW w:w="1450" w:type="dxa"/>
            <w:noWrap w:val="0"/>
            <w:vAlign w:val="center"/>
          </w:tcPr>
          <w:p>
            <w:pPr>
              <w:ind w:firstLine="0" w:firstLineChars="0"/>
              <w:jc w:val="center"/>
              <w:rPr>
                <w:rFonts w:hint="eastAsia" w:ascii="宋体" w:hAnsi="宋体"/>
                <w:b/>
                <w:bCs/>
                <w:color w:val="auto"/>
                <w:sz w:val="24"/>
                <w:lang w:eastAsia="zh-CN"/>
              </w:rPr>
            </w:pPr>
            <w:r>
              <w:rPr>
                <w:rFonts w:hint="eastAsia" w:ascii="宋体" w:hAnsi="宋体" w:eastAsia="宋体" w:cs="宋体"/>
                <w:bCs/>
                <w:color w:val="000000"/>
                <w:sz w:val="24"/>
                <w:lang w:val="zh-CN"/>
              </w:rPr>
              <w:t>★</w:t>
            </w:r>
            <w:r>
              <w:rPr>
                <w:rFonts w:hint="eastAsia" w:ascii="宋体" w:hAnsi="宋体"/>
                <w:b/>
                <w:bCs/>
                <w:color w:val="auto"/>
                <w:sz w:val="24"/>
                <w:lang w:eastAsia="zh-CN"/>
              </w:rPr>
              <w:t>权限管理</w:t>
            </w:r>
          </w:p>
        </w:tc>
        <w:tc>
          <w:tcPr>
            <w:tcW w:w="6567" w:type="dxa"/>
            <w:noWrap w:val="0"/>
            <w:vAlign w:val="center"/>
          </w:tcPr>
          <w:p>
            <w:pPr>
              <w:numPr>
                <w:ilvl w:val="0"/>
                <w:numId w:val="7"/>
              </w:numPr>
              <w:ind w:firstLine="0" w:firstLineChars="0"/>
              <w:rPr>
                <w:rFonts w:hint="eastAsia" w:ascii="宋体" w:hAnsi="宋体"/>
                <w:color w:val="auto"/>
                <w:lang w:val="en-US" w:eastAsia="zh-CN"/>
              </w:rPr>
            </w:pPr>
            <w:r>
              <w:rPr>
                <w:rFonts w:hint="eastAsia" w:ascii="宋体" w:hAnsi="宋体"/>
                <w:color w:val="auto"/>
                <w:lang w:val="en-US" w:eastAsia="zh-CN"/>
              </w:rPr>
              <w:t>支持权限划分、一对一、一对多修改权限；不同的操作权限，如管理层可查看，客服部可增删改查，运营经理可有限制的增删改查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736" w:type="dxa"/>
            <w:noWrap w:val="0"/>
            <w:vAlign w:val="center"/>
          </w:tcPr>
          <w:p>
            <w:pPr>
              <w:ind w:firstLine="0" w:firstLineChars="0"/>
              <w:jc w:val="center"/>
              <w:rPr>
                <w:rFonts w:hint="eastAsia" w:ascii="宋体" w:hAnsi="宋体"/>
                <w:b/>
                <w:bCs/>
                <w:color w:val="auto"/>
                <w:sz w:val="24"/>
                <w:lang w:val="en-US" w:eastAsia="zh-CN"/>
              </w:rPr>
            </w:pPr>
            <w:r>
              <w:rPr>
                <w:rFonts w:hint="eastAsia" w:ascii="宋体" w:hAnsi="宋体"/>
                <w:b/>
                <w:bCs/>
                <w:color w:val="auto"/>
                <w:sz w:val="24"/>
                <w:lang w:val="en-US" w:eastAsia="zh-CN"/>
              </w:rPr>
              <w:t>26</w:t>
            </w:r>
          </w:p>
        </w:tc>
        <w:tc>
          <w:tcPr>
            <w:tcW w:w="1450" w:type="dxa"/>
            <w:noWrap w:val="0"/>
            <w:vAlign w:val="center"/>
          </w:tcPr>
          <w:p>
            <w:pPr>
              <w:ind w:firstLine="0" w:firstLineChars="0"/>
              <w:jc w:val="center"/>
              <w:rPr>
                <w:rFonts w:hint="eastAsia" w:ascii="宋体" w:hAnsi="宋体"/>
                <w:b/>
                <w:bCs/>
                <w:color w:val="auto"/>
                <w:sz w:val="24"/>
                <w:lang w:eastAsia="zh-CN"/>
              </w:rPr>
            </w:pPr>
            <w:r>
              <w:rPr>
                <w:rFonts w:hint="eastAsia" w:ascii="宋体" w:hAnsi="宋体"/>
                <w:b/>
                <w:bCs/>
                <w:color w:val="auto"/>
                <w:sz w:val="24"/>
                <w:lang w:eastAsia="zh-CN"/>
              </w:rPr>
              <w:t>个性化设置</w:t>
            </w:r>
          </w:p>
        </w:tc>
        <w:tc>
          <w:tcPr>
            <w:tcW w:w="6567" w:type="dxa"/>
            <w:noWrap w:val="0"/>
            <w:vAlign w:val="center"/>
          </w:tcPr>
          <w:p>
            <w:pPr>
              <w:numPr>
                <w:ilvl w:val="0"/>
                <w:numId w:val="7"/>
              </w:numPr>
              <w:ind w:firstLine="0" w:firstLineChars="0"/>
              <w:rPr>
                <w:rFonts w:hint="eastAsia" w:ascii="宋体" w:hAnsi="宋体"/>
                <w:color w:val="auto"/>
                <w:lang w:val="en-US" w:eastAsia="zh-CN"/>
              </w:rPr>
            </w:pPr>
            <w:r>
              <w:rPr>
                <w:rFonts w:hint="eastAsia" w:ascii="宋体" w:hAnsi="宋体"/>
                <w:color w:val="auto"/>
                <w:lang w:val="en-US" w:eastAsia="zh-CN"/>
              </w:rPr>
              <w:t>支持坐席端上传个性化头像、支持绑定手机，忙时转手机、支持数据加密、支持坐席免打扰等设置。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736" w:type="dxa"/>
            <w:noWrap w:val="0"/>
            <w:vAlign w:val="center"/>
          </w:tcPr>
          <w:p>
            <w:pPr>
              <w:ind w:firstLine="0" w:firstLineChars="0"/>
              <w:jc w:val="center"/>
              <w:rPr>
                <w:rFonts w:hint="eastAsia" w:ascii="宋体" w:hAnsi="宋体"/>
                <w:b/>
                <w:bCs/>
                <w:color w:val="auto"/>
                <w:sz w:val="24"/>
                <w:lang w:val="en-US" w:eastAsia="zh-CN"/>
              </w:rPr>
            </w:pPr>
            <w:r>
              <w:rPr>
                <w:rFonts w:hint="eastAsia" w:ascii="宋体" w:hAnsi="宋体"/>
                <w:b/>
                <w:bCs/>
                <w:color w:val="auto"/>
                <w:sz w:val="24"/>
                <w:lang w:val="en-US" w:eastAsia="zh-CN"/>
              </w:rPr>
              <w:t>27</w:t>
            </w:r>
          </w:p>
        </w:tc>
        <w:tc>
          <w:tcPr>
            <w:tcW w:w="1450" w:type="dxa"/>
            <w:noWrap w:val="0"/>
            <w:vAlign w:val="center"/>
          </w:tcPr>
          <w:p>
            <w:pPr>
              <w:ind w:firstLine="0" w:firstLineChars="0"/>
              <w:jc w:val="center"/>
              <w:rPr>
                <w:rFonts w:hint="eastAsia" w:ascii="宋体" w:hAnsi="宋体"/>
                <w:b/>
                <w:bCs/>
                <w:color w:val="auto"/>
                <w:sz w:val="24"/>
                <w:lang w:eastAsia="zh-CN"/>
              </w:rPr>
            </w:pPr>
            <w:r>
              <w:rPr>
                <w:rFonts w:hint="eastAsia" w:ascii="宋体" w:hAnsi="宋体" w:eastAsia="宋体" w:cs="宋体"/>
                <w:bCs/>
                <w:color w:val="000000"/>
                <w:sz w:val="24"/>
                <w:lang w:val="zh-CN"/>
              </w:rPr>
              <w:t>★</w:t>
            </w:r>
            <w:r>
              <w:rPr>
                <w:rFonts w:hint="eastAsia" w:ascii="宋体" w:hAnsi="宋体"/>
                <w:b/>
                <w:bCs/>
                <w:color w:val="auto"/>
                <w:sz w:val="24"/>
                <w:lang w:eastAsia="zh-CN"/>
              </w:rPr>
              <w:t>知识库</w:t>
            </w:r>
          </w:p>
        </w:tc>
        <w:tc>
          <w:tcPr>
            <w:tcW w:w="6567" w:type="dxa"/>
            <w:noWrap w:val="0"/>
            <w:vAlign w:val="center"/>
          </w:tcPr>
          <w:p>
            <w:pPr>
              <w:numPr>
                <w:ilvl w:val="0"/>
                <w:numId w:val="7"/>
              </w:numPr>
              <w:ind w:firstLine="0" w:firstLineChars="0"/>
              <w:rPr>
                <w:rFonts w:hint="eastAsia" w:ascii="宋体" w:hAnsi="宋体"/>
                <w:color w:val="auto"/>
                <w:lang w:val="en-US" w:eastAsia="zh-CN"/>
              </w:rPr>
            </w:pPr>
            <w:r>
              <w:rPr>
                <w:rFonts w:hint="eastAsia" w:ascii="宋体" w:hAnsi="宋体"/>
                <w:color w:val="auto"/>
                <w:lang w:val="en-US" w:eastAsia="zh-CN"/>
              </w:rPr>
              <w:t>系统需具有知识库模块，支持知识录入、模糊查询、刷新、查找等。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736" w:type="dxa"/>
            <w:noWrap w:val="0"/>
            <w:vAlign w:val="center"/>
          </w:tcPr>
          <w:p>
            <w:pPr>
              <w:ind w:firstLine="0" w:firstLineChars="0"/>
              <w:jc w:val="center"/>
              <w:rPr>
                <w:rFonts w:hint="eastAsia" w:ascii="宋体" w:hAnsi="宋体"/>
                <w:b/>
                <w:bCs/>
                <w:color w:val="auto"/>
                <w:sz w:val="24"/>
                <w:lang w:val="en-US" w:eastAsia="zh-CN"/>
              </w:rPr>
            </w:pPr>
            <w:r>
              <w:rPr>
                <w:rFonts w:hint="eastAsia" w:ascii="宋体" w:hAnsi="宋体"/>
                <w:b/>
                <w:bCs/>
                <w:color w:val="auto"/>
                <w:sz w:val="24"/>
                <w:lang w:val="en-US" w:eastAsia="zh-CN"/>
              </w:rPr>
              <w:t>28</w:t>
            </w:r>
          </w:p>
        </w:tc>
        <w:tc>
          <w:tcPr>
            <w:tcW w:w="1450" w:type="dxa"/>
            <w:noWrap w:val="0"/>
            <w:vAlign w:val="center"/>
          </w:tcPr>
          <w:p>
            <w:pPr>
              <w:ind w:firstLine="0" w:firstLineChars="0"/>
              <w:jc w:val="center"/>
              <w:rPr>
                <w:rFonts w:hint="eastAsia" w:ascii="宋体" w:hAnsi="宋体"/>
                <w:b/>
                <w:bCs/>
                <w:color w:val="auto"/>
                <w:sz w:val="24"/>
                <w:lang w:val="en-US" w:eastAsia="zh-CN"/>
              </w:rPr>
            </w:pPr>
            <w:r>
              <w:rPr>
                <w:rFonts w:hint="eastAsia" w:ascii="宋体" w:hAnsi="宋体"/>
                <w:b/>
                <w:bCs/>
                <w:color w:val="auto"/>
                <w:sz w:val="24"/>
                <w:lang w:val="en-US" w:eastAsia="zh-CN"/>
              </w:rPr>
              <w:t>UI</w:t>
            </w:r>
          </w:p>
        </w:tc>
        <w:tc>
          <w:tcPr>
            <w:tcW w:w="6567" w:type="dxa"/>
            <w:noWrap w:val="0"/>
            <w:vAlign w:val="center"/>
          </w:tcPr>
          <w:p>
            <w:pPr>
              <w:numPr>
                <w:ilvl w:val="0"/>
                <w:numId w:val="7"/>
              </w:numPr>
              <w:ind w:firstLine="0" w:firstLineChars="0"/>
              <w:rPr>
                <w:rFonts w:hint="eastAsia" w:ascii="宋体" w:hAnsi="宋体"/>
                <w:color w:val="auto"/>
                <w:lang w:val="en-US" w:eastAsia="zh-CN"/>
              </w:rPr>
            </w:pPr>
            <w:r>
              <w:rPr>
                <w:rFonts w:hint="eastAsia" w:ascii="宋体" w:hAnsi="宋体"/>
                <w:color w:val="auto"/>
                <w:lang w:val="en-US" w:eastAsia="zh-CN"/>
              </w:rPr>
              <w:t>支持更换用户Logo、添加企业宣传语以及整体风格。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736" w:type="dxa"/>
            <w:noWrap w:val="0"/>
            <w:vAlign w:val="center"/>
          </w:tcPr>
          <w:p>
            <w:pPr>
              <w:ind w:firstLine="0" w:firstLineChars="0"/>
              <w:jc w:val="center"/>
              <w:rPr>
                <w:rFonts w:hint="default" w:ascii="宋体" w:hAnsi="宋体"/>
                <w:b/>
                <w:bCs/>
                <w:color w:val="auto"/>
                <w:sz w:val="24"/>
                <w:lang w:val="en-US" w:eastAsia="zh-CN"/>
              </w:rPr>
            </w:pPr>
            <w:r>
              <w:rPr>
                <w:rFonts w:hint="eastAsia" w:ascii="宋体" w:hAnsi="宋体"/>
                <w:b/>
                <w:bCs/>
                <w:color w:val="auto"/>
                <w:sz w:val="24"/>
                <w:lang w:val="en-US" w:eastAsia="zh-CN"/>
              </w:rPr>
              <w:t>29</w:t>
            </w:r>
          </w:p>
        </w:tc>
        <w:tc>
          <w:tcPr>
            <w:tcW w:w="1450" w:type="dxa"/>
            <w:noWrap w:val="0"/>
            <w:vAlign w:val="center"/>
          </w:tcPr>
          <w:p>
            <w:pPr>
              <w:ind w:firstLine="0" w:firstLineChars="0"/>
              <w:jc w:val="center"/>
              <w:rPr>
                <w:rFonts w:hint="eastAsia" w:ascii="宋体" w:hAnsi="宋体"/>
                <w:b/>
                <w:bCs/>
                <w:color w:val="auto"/>
                <w:sz w:val="24"/>
                <w:lang w:val="en-US" w:eastAsia="zh-CN"/>
              </w:rPr>
            </w:pPr>
            <w:r>
              <w:rPr>
                <w:rFonts w:hint="eastAsia" w:ascii="宋体" w:hAnsi="宋体"/>
                <w:b/>
                <w:bCs/>
                <w:color w:val="auto"/>
                <w:sz w:val="24"/>
                <w:lang w:val="en-US" w:eastAsia="zh-CN"/>
              </w:rPr>
              <w:t>支持硬件接入</w:t>
            </w:r>
          </w:p>
        </w:tc>
        <w:tc>
          <w:tcPr>
            <w:tcW w:w="6567" w:type="dxa"/>
            <w:noWrap w:val="0"/>
            <w:vAlign w:val="center"/>
          </w:tcPr>
          <w:p>
            <w:pPr>
              <w:numPr>
                <w:ilvl w:val="0"/>
                <w:numId w:val="7"/>
              </w:numPr>
              <w:ind w:firstLine="0" w:firstLineChars="0"/>
              <w:rPr>
                <w:rFonts w:hint="eastAsia" w:ascii="宋体" w:hAnsi="宋体"/>
                <w:color w:val="auto"/>
                <w:lang w:val="en-US" w:eastAsia="zh-CN"/>
              </w:rPr>
            </w:pPr>
            <w:r>
              <w:rPr>
                <w:rFonts w:hint="eastAsia" w:ascii="宋体" w:hAnsi="宋体"/>
                <w:color w:val="auto"/>
                <w:lang w:val="en-US" w:eastAsia="zh-CN"/>
              </w:rPr>
              <w:t>支持模拟、中继语音网关接入；支持IP话机、普通话机接入；支持耳麦接入；支持部署在阿里云服务器和普通服务器上。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736" w:type="dxa"/>
            <w:noWrap w:val="0"/>
            <w:vAlign w:val="center"/>
          </w:tcPr>
          <w:p>
            <w:pPr>
              <w:ind w:firstLine="0" w:firstLineChars="0"/>
              <w:jc w:val="center"/>
              <w:rPr>
                <w:rFonts w:hint="default" w:ascii="宋体" w:hAnsi="宋体"/>
                <w:b/>
                <w:bCs/>
                <w:color w:val="auto"/>
                <w:sz w:val="24"/>
                <w:lang w:val="en-US" w:eastAsia="zh-CN"/>
              </w:rPr>
            </w:pPr>
            <w:r>
              <w:rPr>
                <w:rFonts w:hint="eastAsia" w:ascii="宋体" w:hAnsi="宋体"/>
                <w:b/>
                <w:bCs/>
                <w:color w:val="auto"/>
                <w:sz w:val="24"/>
                <w:lang w:val="en-US" w:eastAsia="zh-CN"/>
              </w:rPr>
              <w:t>30</w:t>
            </w:r>
          </w:p>
        </w:tc>
        <w:tc>
          <w:tcPr>
            <w:tcW w:w="1450" w:type="dxa"/>
            <w:noWrap w:val="0"/>
            <w:vAlign w:val="center"/>
          </w:tcPr>
          <w:p>
            <w:pPr>
              <w:ind w:firstLine="0" w:firstLineChars="0"/>
              <w:jc w:val="center"/>
              <w:rPr>
                <w:rFonts w:hint="default" w:ascii="宋体" w:hAnsi="宋体"/>
                <w:b/>
                <w:bCs/>
                <w:color w:val="auto"/>
                <w:sz w:val="24"/>
                <w:lang w:val="en-US" w:eastAsia="zh-CN"/>
              </w:rPr>
            </w:pPr>
            <w:r>
              <w:rPr>
                <w:rFonts w:hint="eastAsia" w:ascii="宋体" w:hAnsi="宋体" w:eastAsia="宋体" w:cs="宋体"/>
                <w:bCs/>
                <w:color w:val="000000"/>
                <w:sz w:val="24"/>
                <w:lang w:val="zh-CN"/>
              </w:rPr>
              <w:t>★</w:t>
            </w:r>
            <w:r>
              <w:rPr>
                <w:rFonts w:hint="eastAsia" w:ascii="宋体" w:hAnsi="宋体"/>
                <w:b/>
                <w:bCs/>
                <w:color w:val="auto"/>
                <w:sz w:val="24"/>
                <w:lang w:val="en-US" w:eastAsia="zh-CN"/>
              </w:rPr>
              <w:t>微信小程序</w:t>
            </w:r>
          </w:p>
        </w:tc>
        <w:tc>
          <w:tcPr>
            <w:tcW w:w="6567" w:type="dxa"/>
            <w:noWrap w:val="0"/>
            <w:vAlign w:val="center"/>
          </w:tcPr>
          <w:p>
            <w:pPr>
              <w:numPr>
                <w:ilvl w:val="0"/>
                <w:numId w:val="7"/>
              </w:numPr>
              <w:ind w:firstLine="0" w:firstLineChars="0"/>
              <w:rPr>
                <w:rFonts w:hint="eastAsia" w:ascii="宋体" w:hAnsi="宋体"/>
                <w:color w:val="auto"/>
                <w:lang w:val="en-US" w:eastAsia="zh-CN"/>
              </w:rPr>
            </w:pPr>
            <w:r>
              <w:rPr>
                <w:rFonts w:hint="eastAsia" w:ascii="宋体" w:hAnsi="宋体"/>
                <w:color w:val="auto"/>
                <w:lang w:val="en-US" w:eastAsia="zh-CN"/>
              </w:rPr>
              <w:t>支持工单管理，可进行工单回复、转发、回复等；可进行客户管理，也可通过工单直接进行链接查询；可查询\回放呼入呼出的录音；可进行短信发送、查询等，设置，个人管理</w:t>
            </w:r>
          </w:p>
        </w:tc>
      </w:tr>
    </w:tbl>
    <w:p>
      <w:pPr>
        <w:pStyle w:val="48"/>
        <w:widowControl w:val="0"/>
        <w:numPr>
          <w:ilvl w:val="0"/>
          <w:numId w:val="0"/>
        </w:numPr>
        <w:spacing w:line="360" w:lineRule="auto"/>
        <w:jc w:val="both"/>
        <w:rPr>
          <w:rFonts w:hint="default" w:eastAsia="宋体" w:cs="宋体"/>
          <w:color w:val="auto"/>
          <w:sz w:val="28"/>
          <w:szCs w:val="28"/>
          <w:lang w:val="en-US" w:eastAsia="zh-CN"/>
        </w:rPr>
      </w:pPr>
    </w:p>
    <w:p>
      <w:pPr>
        <w:pStyle w:val="48"/>
        <w:widowControl w:val="0"/>
        <w:numPr>
          <w:ilvl w:val="0"/>
          <w:numId w:val="0"/>
        </w:numPr>
        <w:spacing w:line="360" w:lineRule="auto"/>
        <w:jc w:val="both"/>
        <w:rPr>
          <w:rFonts w:hint="default" w:eastAsia="宋体" w:cs="宋体"/>
          <w:color w:val="auto"/>
          <w:sz w:val="28"/>
          <w:szCs w:val="28"/>
          <w:lang w:val="en-US" w:eastAsia="zh-CN"/>
        </w:rPr>
      </w:pPr>
    </w:p>
    <w:p>
      <w:pPr>
        <w:pStyle w:val="48"/>
        <w:widowControl w:val="0"/>
        <w:numPr>
          <w:ilvl w:val="0"/>
          <w:numId w:val="0"/>
        </w:numPr>
        <w:spacing w:line="360" w:lineRule="auto"/>
        <w:jc w:val="both"/>
        <w:rPr>
          <w:rFonts w:hint="default" w:eastAsia="宋体" w:cs="宋体"/>
          <w:color w:val="auto"/>
          <w:sz w:val="28"/>
          <w:szCs w:val="28"/>
          <w:lang w:val="en-US" w:eastAsia="zh-CN"/>
        </w:rPr>
      </w:pPr>
    </w:p>
    <w:p>
      <w:pPr>
        <w:pStyle w:val="3"/>
        <w:rPr>
          <w:rFonts w:hint="default" w:ascii="宋体" w:hAnsi="宋体" w:eastAsia="宋体" w:cs="宋体"/>
          <w:color w:val="auto"/>
          <w:sz w:val="30"/>
          <w:szCs w:val="30"/>
          <w:lang w:val="en-US" w:eastAsia="zh-CN"/>
        </w:rPr>
      </w:pPr>
      <w:r>
        <w:rPr>
          <w:rFonts w:hint="eastAsia" w:ascii="宋体" w:hAnsi="宋体" w:cs="宋体"/>
          <w:color w:val="auto"/>
          <w:sz w:val="30"/>
          <w:szCs w:val="30"/>
          <w:lang w:val="en-US" w:eastAsia="zh-CN"/>
        </w:rPr>
        <w:t>三、</w:t>
      </w:r>
      <w:r>
        <w:rPr>
          <w:rFonts w:hint="eastAsia" w:ascii="宋体" w:hAnsi="宋体" w:eastAsia="宋体" w:cs="宋体"/>
          <w:color w:val="auto"/>
          <w:sz w:val="30"/>
          <w:szCs w:val="30"/>
          <w:lang w:val="en-US" w:eastAsia="zh-CN"/>
        </w:rPr>
        <w:t>硬件</w:t>
      </w:r>
      <w:r>
        <w:rPr>
          <w:rFonts w:hint="eastAsia" w:ascii="宋体" w:hAnsi="宋体" w:cs="宋体"/>
          <w:color w:val="auto"/>
          <w:sz w:val="30"/>
          <w:szCs w:val="30"/>
          <w:lang w:val="en-US" w:eastAsia="zh-CN"/>
        </w:rPr>
        <w:t>需求</w:t>
      </w:r>
    </w:p>
    <w:p>
      <w:pPr>
        <w:rPr>
          <w:rFonts w:hint="eastAsia" w:ascii="宋体" w:hAnsi="宋体" w:eastAsia="宋体" w:cs="宋体"/>
          <w:b/>
          <w:bCs/>
          <w:color w:val="auto"/>
          <w:lang w:val="en-US" w:eastAsia="zh-CN"/>
        </w:rPr>
      </w:pPr>
      <w:r>
        <w:rPr>
          <w:rFonts w:hint="eastAsia" w:ascii="宋体" w:hAnsi="宋体" w:eastAsia="宋体" w:cs="宋体"/>
          <w:b w:val="0"/>
          <w:bCs w:val="0"/>
          <w:color w:val="auto"/>
          <w:lang w:val="en-US" w:eastAsia="zh-CN"/>
        </w:rPr>
        <w:t>硬件配置需支持8座席同时在线提供语音服务。</w:t>
      </w:r>
    </w:p>
    <w:p>
      <w:pPr>
        <w:pStyle w:val="4"/>
        <w:bidi w:val="0"/>
        <w:jc w:val="left"/>
        <w:rPr>
          <w:rFonts w:hint="default"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1.语音网关（2台）</w:t>
      </w:r>
    </w:p>
    <w:p>
      <w:pPr>
        <w:rPr>
          <w:rFonts w:hint="eastAsia"/>
          <w:color w:val="auto"/>
          <w:lang w:val="en-US" w:eastAsia="zh-CN"/>
        </w:rPr>
      </w:pPr>
      <w:r>
        <w:rPr>
          <w:rFonts w:hint="eastAsia" w:ascii="宋体" w:hAnsi="宋体" w:eastAsia="宋体" w:cs="宋体"/>
          <w:b w:val="0"/>
          <w:bCs w:val="0"/>
          <w:color w:val="auto"/>
          <w:lang w:val="en-US" w:eastAsia="zh-CN"/>
        </w:rPr>
        <w:t>语音网关配置需支持后期扩展到</w:t>
      </w:r>
      <w:r>
        <w:rPr>
          <w:rFonts w:hint="eastAsia" w:ascii="宋体" w:hAnsi="宋体" w:cs="宋体"/>
          <w:b w:val="0"/>
          <w:bCs w:val="0"/>
          <w:color w:val="auto"/>
          <w:lang w:val="en-US" w:eastAsia="zh-CN"/>
        </w:rPr>
        <w:t>30</w:t>
      </w:r>
      <w:r>
        <w:rPr>
          <w:rFonts w:hint="eastAsia" w:ascii="宋体" w:hAnsi="宋体" w:eastAsia="宋体" w:cs="宋体"/>
          <w:b w:val="0"/>
          <w:bCs w:val="0"/>
          <w:color w:val="auto"/>
          <w:lang w:val="en-US" w:eastAsia="zh-CN"/>
        </w:rPr>
        <w:t>座席（</w:t>
      </w:r>
      <w:r>
        <w:rPr>
          <w:rFonts w:hint="eastAsia" w:ascii="宋体" w:hAnsi="宋体" w:eastAsia="宋体" w:cs="宋体"/>
          <w:b w:val="0"/>
          <w:bCs w:val="0"/>
          <w:color w:val="auto"/>
          <w:highlight w:val="none"/>
          <w:lang w:val="en-US" w:eastAsia="zh-CN"/>
        </w:rPr>
        <w:t>无需</w:t>
      </w:r>
      <w:r>
        <w:rPr>
          <w:rFonts w:hint="eastAsia" w:ascii="宋体" w:hAnsi="宋体" w:eastAsia="宋体" w:cs="宋体"/>
          <w:b w:val="0"/>
          <w:bCs w:val="0"/>
          <w:color w:val="auto"/>
          <w:lang w:val="en-US" w:eastAsia="zh-CN"/>
        </w:rPr>
        <w:t>更换、增加硬件）。</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2"/>
        <w:gridCol w:w="6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52" w:type="dxa"/>
            <w:shd w:val="clear" w:color="auto" w:fill="B8CCE4"/>
            <w:noWrap w:val="0"/>
            <w:vAlign w:val="top"/>
          </w:tcPr>
          <w:p>
            <w:pPr>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基本功能</w:t>
            </w:r>
          </w:p>
        </w:tc>
        <w:tc>
          <w:tcPr>
            <w:tcW w:w="6170" w:type="dxa"/>
            <w:shd w:val="clear" w:color="auto" w:fill="B8CCE4"/>
            <w:noWrap w:val="0"/>
            <w:vAlign w:val="top"/>
          </w:tcPr>
          <w:p>
            <w:pPr>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noWrap w:val="0"/>
            <w:vAlign w:val="top"/>
          </w:tcPr>
          <w:p>
            <w:pPr>
              <w:jc w:val="center"/>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i w:val="0"/>
                <w:iCs/>
                <w:color w:val="auto"/>
                <w:sz w:val="21"/>
                <w:szCs w:val="21"/>
              </w:rPr>
              <w:t>PSTN 呼叫</w:t>
            </w:r>
          </w:p>
        </w:tc>
        <w:tc>
          <w:tcPr>
            <w:tcW w:w="6170" w:type="dxa"/>
            <w:noWrap w:val="0"/>
            <w:vAlign w:val="top"/>
          </w:tcPr>
          <w:p>
            <w:pPr>
              <w:rPr>
                <w:rFonts w:hint="eastAsia"/>
                <w:color w:val="auto"/>
                <w:vertAlign w:val="baseline"/>
                <w:lang w:val="en-US" w:eastAsia="zh-CN"/>
              </w:rPr>
            </w:pPr>
            <w:r>
              <w:rPr>
                <w:rFonts w:hint="eastAsia" w:ascii="宋体" w:hAnsi="宋体" w:eastAsia="宋体" w:cs="宋体"/>
                <w:color w:val="auto"/>
                <w:sz w:val="21"/>
                <w:szCs w:val="21"/>
              </w:rPr>
              <w:t>PSTN 线路呼入，经过路由和号码变换，连接指定的 SIP 中继进行语音通信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noWrap w:val="0"/>
            <w:vAlign w:val="top"/>
          </w:tcPr>
          <w:p>
            <w:pPr>
              <w:jc w:val="center"/>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i w:val="0"/>
                <w:iCs/>
                <w:color w:val="auto"/>
                <w:sz w:val="21"/>
                <w:szCs w:val="21"/>
              </w:rPr>
              <w:t>IP 呼叫</w:t>
            </w:r>
          </w:p>
        </w:tc>
        <w:tc>
          <w:tcPr>
            <w:tcW w:w="6170" w:type="dxa"/>
            <w:noWrap w:val="0"/>
            <w:vAlign w:val="top"/>
          </w:tcPr>
          <w:p>
            <w:pPr>
              <w:rPr>
                <w:rFonts w:hint="eastAsia"/>
                <w:color w:val="auto"/>
                <w:vertAlign w:val="baseline"/>
                <w:lang w:val="en-US" w:eastAsia="zh-CN"/>
              </w:rPr>
            </w:pPr>
            <w:r>
              <w:rPr>
                <w:rFonts w:hint="eastAsia" w:ascii="宋体" w:hAnsi="宋体" w:eastAsia="宋体" w:cs="宋体"/>
                <w:color w:val="auto"/>
                <w:sz w:val="21"/>
                <w:szCs w:val="21"/>
              </w:rPr>
              <w:t>IP 线路呼入，经过路由和号码变换，连接指定的 PCM 中继进行语音通信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noWrap w:val="0"/>
            <w:vAlign w:val="top"/>
          </w:tcPr>
          <w:p>
            <w:pPr>
              <w:jc w:val="center"/>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i w:val="0"/>
                <w:iCs/>
                <w:color w:val="auto"/>
                <w:sz w:val="21"/>
                <w:szCs w:val="21"/>
              </w:rPr>
              <w:t>号码变换</w:t>
            </w:r>
          </w:p>
        </w:tc>
        <w:tc>
          <w:tcPr>
            <w:tcW w:w="6170" w:type="dxa"/>
            <w:noWrap w:val="0"/>
            <w:vAlign w:val="top"/>
          </w:tcPr>
          <w:p>
            <w:pPr>
              <w:rPr>
                <w:rFonts w:hint="eastAsia"/>
                <w:color w:val="auto"/>
                <w:vertAlign w:val="baseline"/>
                <w:lang w:val="en-US" w:eastAsia="zh-CN"/>
              </w:rPr>
            </w:pPr>
            <w:r>
              <w:rPr>
                <w:rFonts w:hint="eastAsia" w:ascii="宋体" w:hAnsi="宋体" w:eastAsia="宋体" w:cs="宋体"/>
                <w:color w:val="auto"/>
                <w:sz w:val="21"/>
                <w:szCs w:val="21"/>
              </w:rPr>
              <w:t>删减号码头部或尾部的数字，或者对号码添加前缀或后缀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noWrap w:val="0"/>
            <w:vAlign w:val="top"/>
          </w:tcPr>
          <w:p>
            <w:pPr>
              <w:jc w:val="center"/>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i w:val="0"/>
                <w:iCs/>
                <w:color w:val="auto"/>
                <w:sz w:val="21"/>
                <w:szCs w:val="21"/>
              </w:rPr>
              <w:t>PSTN/ VoIP 路由</w:t>
            </w:r>
          </w:p>
        </w:tc>
        <w:tc>
          <w:tcPr>
            <w:tcW w:w="6170" w:type="dxa"/>
            <w:noWrap w:val="0"/>
            <w:vAlign w:val="top"/>
          </w:tcPr>
          <w:p>
            <w:pPr>
              <w:rPr>
                <w:rFonts w:hint="eastAsia"/>
                <w:color w:val="auto"/>
                <w:vertAlign w:val="baseline"/>
                <w:lang w:val="en-US" w:eastAsia="zh-CN"/>
              </w:rPr>
            </w:pPr>
            <w:r>
              <w:rPr>
                <w:rFonts w:hint="eastAsia" w:ascii="宋体" w:hAnsi="宋体" w:eastAsia="宋体" w:cs="宋体"/>
                <w:color w:val="auto"/>
                <w:sz w:val="21"/>
                <w:szCs w:val="21"/>
              </w:rPr>
              <w:t>用户可以设置路由路径，从 IP 到 PSTN 或从 PSTN 到 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noWrap w:val="0"/>
            <w:vAlign w:val="top"/>
          </w:tcPr>
          <w:p>
            <w:pPr>
              <w:jc w:val="center"/>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i w:val="0"/>
                <w:iCs/>
                <w:color w:val="auto"/>
                <w:sz w:val="21"/>
                <w:szCs w:val="21"/>
              </w:rPr>
              <w:t>传真</w:t>
            </w:r>
          </w:p>
        </w:tc>
        <w:tc>
          <w:tcPr>
            <w:tcW w:w="6170" w:type="dxa"/>
            <w:noWrap w:val="0"/>
            <w:vAlign w:val="top"/>
          </w:tcPr>
          <w:p>
            <w:pPr>
              <w:rPr>
                <w:rFonts w:hint="eastAsia"/>
                <w:color w:val="auto"/>
                <w:vertAlign w:val="baseline"/>
                <w:lang w:val="en-US" w:eastAsia="zh-CN"/>
              </w:rPr>
            </w:pPr>
            <w:r>
              <w:rPr>
                <w:rFonts w:hint="eastAsia" w:ascii="宋体" w:hAnsi="宋体" w:eastAsia="宋体" w:cs="宋体"/>
                <w:color w:val="auto"/>
                <w:sz w:val="21"/>
                <w:szCs w:val="21"/>
              </w:rPr>
              <w:t>用户可以设置传真模式、最大传真速率、训练方式、纠错模式等传真参数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noWrap w:val="0"/>
            <w:vAlign w:val="top"/>
          </w:tcPr>
          <w:p>
            <w:pPr>
              <w:jc w:val="center"/>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i w:val="0"/>
                <w:iCs/>
                <w:color w:val="auto"/>
                <w:sz w:val="21"/>
                <w:szCs w:val="21"/>
              </w:rPr>
              <w:t>回波抵消</w:t>
            </w:r>
          </w:p>
        </w:tc>
        <w:tc>
          <w:tcPr>
            <w:tcW w:w="6170" w:type="dxa"/>
            <w:noWrap w:val="0"/>
            <w:vAlign w:val="top"/>
          </w:tcPr>
          <w:p>
            <w:pPr>
              <w:rPr>
                <w:rFonts w:hint="eastAsia"/>
                <w:color w:val="auto"/>
                <w:vertAlign w:val="baseline"/>
                <w:lang w:val="en-US" w:eastAsia="zh-CN"/>
              </w:rPr>
            </w:pPr>
            <w:r>
              <w:rPr>
                <w:rFonts w:hint="eastAsia" w:ascii="宋体" w:hAnsi="宋体" w:eastAsia="宋体" w:cs="宋体"/>
                <w:color w:val="auto"/>
                <w:sz w:val="21"/>
                <w:szCs w:val="21"/>
              </w:rPr>
              <w:t>在通话过程中提供回波抵消功能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shd w:val="clear" w:color="auto" w:fill="B8CCE4"/>
            <w:noWrap w:val="0"/>
            <w:vAlign w:val="top"/>
          </w:tcPr>
          <w:p>
            <w:pPr>
              <w:jc w:val="center"/>
              <w:rPr>
                <w:rFonts w:hint="eastAsia"/>
                <w:color w:val="auto"/>
                <w:sz w:val="24"/>
                <w:szCs w:val="24"/>
                <w:vertAlign w:val="baseline"/>
                <w:lang w:val="en-US" w:eastAsia="zh-CN"/>
              </w:rPr>
            </w:pPr>
            <w:r>
              <w:rPr>
                <w:rFonts w:hint="eastAsia" w:ascii="宋体" w:hAnsi="宋体" w:eastAsia="宋体" w:cs="宋体"/>
                <w:b/>
                <w:color w:val="auto"/>
                <w:sz w:val="24"/>
                <w:szCs w:val="24"/>
              </w:rPr>
              <w:t>信令和协议</w:t>
            </w:r>
          </w:p>
        </w:tc>
        <w:tc>
          <w:tcPr>
            <w:tcW w:w="6170" w:type="dxa"/>
            <w:shd w:val="clear" w:color="auto" w:fill="B8CCE4"/>
            <w:noWrap w:val="0"/>
            <w:vAlign w:val="top"/>
          </w:tcPr>
          <w:p>
            <w:pPr>
              <w:jc w:val="center"/>
              <w:rPr>
                <w:rFonts w:hint="eastAsia"/>
                <w:color w:val="auto"/>
                <w:sz w:val="24"/>
                <w:szCs w:val="24"/>
                <w:vertAlign w:val="baseline"/>
                <w:lang w:val="en-US" w:eastAsia="zh-CN"/>
              </w:rPr>
            </w:pPr>
            <w:r>
              <w:rPr>
                <w:rFonts w:hint="eastAsia" w:ascii="宋体" w:hAnsi="宋体" w:eastAsia="宋体" w:cs="宋体"/>
                <w:b/>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noWrap w:val="0"/>
            <w:vAlign w:val="top"/>
          </w:tcPr>
          <w:p>
            <w:pPr>
              <w:jc w:val="center"/>
              <w:rPr>
                <w:rFonts w:hint="eastAsia" w:ascii="宋体" w:hAnsi="宋体" w:eastAsia="宋体" w:cs="宋体"/>
                <w:b w:val="0"/>
                <w:bCs/>
                <w:i w:val="0"/>
                <w:iCs/>
                <w:color w:val="auto"/>
                <w:w w:val="99"/>
                <w:sz w:val="21"/>
                <w:szCs w:val="21"/>
              </w:rPr>
            </w:pPr>
            <w:r>
              <w:rPr>
                <w:rFonts w:hint="eastAsia" w:ascii="宋体" w:hAnsi="宋体" w:eastAsia="宋体" w:cs="宋体"/>
                <w:b w:val="0"/>
                <w:bCs/>
                <w:i w:val="0"/>
                <w:iCs/>
                <w:color w:val="auto"/>
                <w:sz w:val="21"/>
                <w:szCs w:val="21"/>
              </w:rPr>
              <w:t>7 号信令</w:t>
            </w:r>
          </w:p>
        </w:tc>
        <w:tc>
          <w:tcPr>
            <w:tcW w:w="6170" w:type="dxa"/>
            <w:noWrap w:val="0"/>
            <w:vAlign w:val="top"/>
          </w:tcPr>
          <w:p>
            <w:pPr>
              <w:rPr>
                <w:rFonts w:hint="eastAsia" w:ascii="宋体" w:hAnsi="宋体" w:eastAsia="宋体" w:cs="宋体"/>
                <w:b/>
                <w:color w:val="auto"/>
                <w:sz w:val="21"/>
                <w:szCs w:val="21"/>
              </w:rPr>
            </w:pPr>
            <w:r>
              <w:rPr>
                <w:rFonts w:hint="eastAsia" w:ascii="宋体" w:hAnsi="宋体" w:eastAsia="宋体" w:cs="宋体"/>
                <w:color w:val="auto"/>
                <w:sz w:val="21"/>
                <w:szCs w:val="21"/>
              </w:rPr>
              <w:t>7 号信令 TUP 协议、7 号信令 ISUP 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noWrap w:val="0"/>
            <w:vAlign w:val="top"/>
          </w:tcPr>
          <w:p>
            <w:pPr>
              <w:jc w:val="center"/>
              <w:rPr>
                <w:rFonts w:hint="eastAsia" w:ascii="宋体" w:hAnsi="宋体" w:eastAsia="宋体" w:cs="宋体"/>
                <w:b w:val="0"/>
                <w:bCs/>
                <w:i w:val="0"/>
                <w:iCs/>
                <w:color w:val="auto"/>
                <w:w w:val="99"/>
                <w:sz w:val="21"/>
                <w:szCs w:val="21"/>
              </w:rPr>
            </w:pPr>
            <w:r>
              <w:rPr>
                <w:rFonts w:hint="eastAsia" w:ascii="宋体" w:hAnsi="宋体" w:eastAsia="宋体" w:cs="宋体"/>
                <w:b w:val="0"/>
                <w:bCs/>
                <w:i w:val="0"/>
                <w:iCs/>
                <w:color w:val="auto"/>
                <w:sz w:val="21"/>
                <w:szCs w:val="21"/>
              </w:rPr>
              <w:t>ISDN 协议</w:t>
            </w:r>
          </w:p>
        </w:tc>
        <w:tc>
          <w:tcPr>
            <w:tcW w:w="6170" w:type="dxa"/>
            <w:noWrap w:val="0"/>
            <w:vAlign w:val="top"/>
          </w:tcPr>
          <w:p>
            <w:pPr>
              <w:rPr>
                <w:rFonts w:hint="eastAsia" w:ascii="宋体" w:hAnsi="宋体" w:eastAsia="宋体" w:cs="宋体"/>
                <w:b/>
                <w:color w:val="auto"/>
                <w:sz w:val="21"/>
                <w:szCs w:val="21"/>
              </w:rPr>
            </w:pPr>
            <w:r>
              <w:rPr>
                <w:rFonts w:hint="eastAsia" w:ascii="宋体" w:hAnsi="宋体" w:eastAsia="宋体" w:cs="宋体"/>
                <w:color w:val="auto"/>
                <w:sz w:val="21"/>
                <w:szCs w:val="21"/>
              </w:rPr>
              <w:t>ISDN 用户侧、ISDN 网络侧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noWrap w:val="0"/>
            <w:vAlign w:val="top"/>
          </w:tcPr>
          <w:p>
            <w:pPr>
              <w:jc w:val="center"/>
              <w:rPr>
                <w:rFonts w:hint="eastAsia" w:ascii="宋体" w:hAnsi="宋体" w:eastAsia="宋体" w:cs="宋体"/>
                <w:b w:val="0"/>
                <w:bCs/>
                <w:i w:val="0"/>
                <w:iCs/>
                <w:color w:val="auto"/>
                <w:w w:val="99"/>
                <w:sz w:val="21"/>
                <w:szCs w:val="21"/>
              </w:rPr>
            </w:pPr>
            <w:r>
              <w:rPr>
                <w:rFonts w:hint="eastAsia" w:ascii="宋体" w:hAnsi="宋体" w:eastAsia="宋体" w:cs="宋体"/>
                <w:b w:val="0"/>
                <w:bCs/>
                <w:i w:val="0"/>
                <w:iCs/>
                <w:color w:val="auto"/>
                <w:sz w:val="21"/>
                <w:szCs w:val="21"/>
              </w:rPr>
              <w:t>1 号信令</w:t>
            </w:r>
          </w:p>
        </w:tc>
        <w:tc>
          <w:tcPr>
            <w:tcW w:w="6170" w:type="dxa"/>
            <w:noWrap w:val="0"/>
            <w:vAlign w:val="top"/>
          </w:tcPr>
          <w:p>
            <w:pPr>
              <w:rPr>
                <w:rFonts w:hint="eastAsia" w:ascii="宋体" w:hAnsi="宋体" w:eastAsia="宋体" w:cs="宋体"/>
                <w:b/>
                <w:color w:val="auto"/>
                <w:sz w:val="21"/>
                <w:szCs w:val="21"/>
              </w:rPr>
            </w:pPr>
            <w:r>
              <w:rPr>
                <w:rFonts w:hint="eastAsia" w:ascii="宋体" w:hAnsi="宋体" w:eastAsia="宋体" w:cs="宋体"/>
                <w:color w:val="auto"/>
                <w:sz w:val="21"/>
                <w:szCs w:val="21"/>
              </w:rPr>
              <w:t>1 号信令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noWrap w:val="0"/>
            <w:vAlign w:val="top"/>
          </w:tcPr>
          <w:p>
            <w:pPr>
              <w:jc w:val="center"/>
              <w:rPr>
                <w:rFonts w:hint="eastAsia" w:ascii="宋体" w:hAnsi="宋体" w:eastAsia="宋体" w:cs="宋体"/>
                <w:b w:val="0"/>
                <w:bCs/>
                <w:i w:val="0"/>
                <w:iCs/>
                <w:color w:val="auto"/>
                <w:w w:val="99"/>
                <w:sz w:val="21"/>
                <w:szCs w:val="21"/>
              </w:rPr>
            </w:pPr>
            <w:r>
              <w:rPr>
                <w:rFonts w:hint="eastAsia" w:ascii="宋体" w:hAnsi="宋体" w:eastAsia="宋体" w:cs="宋体"/>
                <w:b w:val="0"/>
                <w:bCs/>
                <w:i w:val="0"/>
                <w:iCs/>
                <w:color w:val="auto"/>
                <w:sz w:val="21"/>
                <w:szCs w:val="21"/>
              </w:rPr>
              <w:t>SIP 信令</w:t>
            </w:r>
          </w:p>
        </w:tc>
        <w:tc>
          <w:tcPr>
            <w:tcW w:w="6170" w:type="dxa"/>
            <w:noWrap w:val="0"/>
            <w:vAlign w:val="top"/>
          </w:tcPr>
          <w:p>
            <w:pPr>
              <w:rPr>
                <w:rFonts w:hint="eastAsia" w:ascii="宋体" w:hAnsi="宋体" w:eastAsia="宋体" w:cs="宋体"/>
                <w:b/>
                <w:color w:val="auto"/>
                <w:sz w:val="21"/>
                <w:szCs w:val="21"/>
              </w:rPr>
            </w:pPr>
            <w:r>
              <w:rPr>
                <w:rFonts w:hint="eastAsia" w:ascii="宋体" w:hAnsi="宋体" w:eastAsia="宋体" w:cs="宋体"/>
                <w:color w:val="auto"/>
                <w:sz w:val="21"/>
                <w:szCs w:val="21"/>
              </w:rPr>
              <w:t>兼容的协议：SIP V1.0/2.0、RFC3261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noWrap w:val="0"/>
            <w:vAlign w:val="top"/>
          </w:tcPr>
          <w:p>
            <w:pPr>
              <w:jc w:val="center"/>
              <w:rPr>
                <w:rFonts w:hint="eastAsia" w:ascii="宋体" w:hAnsi="宋体" w:eastAsia="宋体" w:cs="宋体"/>
                <w:b w:val="0"/>
                <w:bCs/>
                <w:i w:val="0"/>
                <w:iCs/>
                <w:color w:val="auto"/>
                <w:w w:val="99"/>
                <w:sz w:val="21"/>
                <w:szCs w:val="21"/>
              </w:rPr>
            </w:pPr>
            <w:r>
              <w:rPr>
                <w:rFonts w:hint="eastAsia" w:ascii="宋体" w:hAnsi="宋体" w:eastAsia="宋体" w:cs="宋体"/>
                <w:b w:val="0"/>
                <w:bCs/>
                <w:i w:val="0"/>
                <w:iCs/>
                <w:color w:val="auto"/>
                <w:sz w:val="21"/>
                <w:szCs w:val="21"/>
              </w:rPr>
              <w:t>语音</w:t>
            </w:r>
          </w:p>
        </w:tc>
        <w:tc>
          <w:tcPr>
            <w:tcW w:w="6170" w:type="dxa"/>
            <w:noWrap w:val="0"/>
            <w:vAlign w:val="top"/>
          </w:tcPr>
          <w:p>
            <w:pPr>
              <w:rPr>
                <w:rFonts w:hint="eastAsia" w:ascii="宋体" w:hAnsi="宋体" w:eastAsia="宋体" w:cs="宋体"/>
                <w:color w:val="auto"/>
                <w:sz w:val="21"/>
                <w:szCs w:val="21"/>
              </w:rPr>
            </w:pPr>
            <w:r>
              <w:rPr>
                <w:rFonts w:hint="eastAsia" w:ascii="宋体" w:hAnsi="宋体" w:eastAsia="宋体" w:cs="宋体"/>
                <w:color w:val="auto"/>
                <w:sz w:val="21"/>
                <w:szCs w:val="21"/>
              </w:rPr>
              <w:t>音频编解码格式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G.711</w:t>
            </w: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rPr>
              <w:t>G.711U、G.729A/</w:t>
            </w: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rPr>
              <w:t>G723、G722、AMR、iLBC</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DTMF 模式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RFC2833、SIP INFO、INBAND、RFC2833+信令、带内+信令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noWrap w:val="0"/>
            <w:vAlign w:val="top"/>
          </w:tcPr>
          <w:p>
            <w:pPr>
              <w:jc w:val="center"/>
              <w:rPr>
                <w:rFonts w:hint="eastAsia" w:ascii="宋体" w:hAnsi="宋体" w:eastAsia="宋体" w:cs="宋体"/>
                <w:b w:val="0"/>
                <w:bCs/>
                <w:i w:val="0"/>
                <w:iCs/>
                <w:color w:val="auto"/>
                <w:w w:val="99"/>
                <w:sz w:val="21"/>
                <w:szCs w:val="21"/>
              </w:rPr>
            </w:pPr>
            <w:r>
              <w:rPr>
                <w:rFonts w:hint="eastAsia" w:ascii="宋体" w:hAnsi="宋体" w:eastAsia="宋体" w:cs="宋体"/>
                <w:b w:val="0"/>
                <w:bCs/>
                <w:i w:val="0"/>
                <w:iCs/>
                <w:color w:val="auto"/>
                <w:sz w:val="21"/>
                <w:szCs w:val="21"/>
              </w:rPr>
              <w:t>语音</w:t>
            </w:r>
          </w:p>
        </w:tc>
        <w:tc>
          <w:tcPr>
            <w:tcW w:w="6170" w:type="dxa"/>
            <w:noWrap w:val="0"/>
            <w:vAlign w:val="top"/>
          </w:tcPr>
          <w:p>
            <w:pP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noWrap w:val="0"/>
            <w:vAlign w:val="top"/>
          </w:tcPr>
          <w:p>
            <w:pPr>
              <w:jc w:val="center"/>
              <w:rPr>
                <w:rFonts w:hint="eastAsia" w:ascii="宋体" w:hAnsi="宋体" w:eastAsia="宋体" w:cs="宋体"/>
                <w:b w:val="0"/>
                <w:bCs/>
                <w:i w:val="0"/>
                <w:iCs/>
                <w:color w:val="auto"/>
                <w:w w:val="99"/>
                <w:sz w:val="21"/>
                <w:szCs w:val="21"/>
              </w:rPr>
            </w:pPr>
            <w:r>
              <w:rPr>
                <w:rFonts w:hint="eastAsia" w:ascii="宋体" w:hAnsi="宋体" w:eastAsia="宋体" w:cs="宋体"/>
                <w:b w:val="0"/>
                <w:bCs/>
                <w:i w:val="0"/>
                <w:iCs/>
                <w:color w:val="auto"/>
                <w:sz w:val="21"/>
                <w:szCs w:val="21"/>
              </w:rPr>
              <w:t>传真</w:t>
            </w:r>
          </w:p>
        </w:tc>
        <w:tc>
          <w:tcPr>
            <w:tcW w:w="6170" w:type="dxa"/>
            <w:noWrap w:val="0"/>
            <w:vAlign w:val="top"/>
          </w:tcPr>
          <w:p>
            <w:pPr>
              <w:rPr>
                <w:rFonts w:hint="eastAsia" w:ascii="宋体" w:hAnsi="宋体" w:eastAsia="宋体" w:cs="宋体"/>
                <w:color w:val="auto"/>
                <w:sz w:val="21"/>
                <w:szCs w:val="21"/>
              </w:rPr>
            </w:pPr>
            <w:r>
              <w:rPr>
                <w:rFonts w:hint="eastAsia" w:ascii="宋体" w:hAnsi="宋体" w:eastAsia="宋体" w:cs="宋体"/>
                <w:color w:val="auto"/>
                <w:sz w:val="21"/>
                <w:szCs w:val="21"/>
              </w:rPr>
              <w:t>传真模式</w:t>
            </w:r>
            <w:r>
              <w:rPr>
                <w:rFonts w:hint="eastAsia" w:ascii="宋体" w:hAnsi="宋体" w:eastAsia="宋体" w:cs="宋体"/>
                <w:color w:val="auto"/>
                <w:sz w:val="21"/>
                <w:szCs w:val="21"/>
              </w:rPr>
              <w:tab/>
            </w:r>
            <w:r>
              <w:rPr>
                <w:rFonts w:hint="eastAsia" w:ascii="宋体" w:hAnsi="宋体" w:eastAsia="宋体" w:cs="宋体"/>
                <w:color w:val="auto"/>
                <w:sz w:val="21"/>
                <w:szCs w:val="21"/>
              </w:rPr>
              <w:t>T.38、Pass-Through</w:t>
            </w:r>
          </w:p>
          <w:p>
            <w:pPr>
              <w:rPr>
                <w:rFonts w:hint="eastAsia" w:ascii="宋体" w:hAnsi="宋体" w:eastAsia="宋体" w:cs="宋体"/>
                <w:b/>
                <w:color w:val="auto"/>
                <w:sz w:val="21"/>
                <w:szCs w:val="21"/>
              </w:rPr>
            </w:pPr>
            <w:r>
              <w:rPr>
                <w:rFonts w:hint="eastAsia" w:ascii="宋体" w:hAnsi="宋体" w:eastAsia="宋体" w:cs="宋体"/>
                <w:color w:val="auto"/>
                <w:sz w:val="21"/>
                <w:szCs w:val="21"/>
              </w:rPr>
              <w:t>波特率</w:t>
            </w:r>
            <w:r>
              <w:rPr>
                <w:rFonts w:hint="eastAsia" w:ascii="宋体" w:hAnsi="宋体" w:eastAsia="宋体" w:cs="宋体"/>
                <w:color w:val="auto"/>
                <w:sz w:val="21"/>
                <w:szCs w:val="21"/>
              </w:rPr>
              <w:tab/>
            </w:r>
            <w:r>
              <w:rPr>
                <w:rFonts w:hint="eastAsia" w:ascii="宋体" w:hAnsi="宋体" w:eastAsia="宋体" w:cs="宋体"/>
                <w:color w:val="auto"/>
                <w:sz w:val="21"/>
                <w:szCs w:val="21"/>
              </w:rPr>
              <w:t>14400bps、9600bps、4800bps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shd w:val="clear" w:color="auto" w:fill="B8CCE4"/>
            <w:noWrap w:val="0"/>
            <w:vAlign w:val="top"/>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网络特性</w:t>
            </w:r>
          </w:p>
        </w:tc>
        <w:tc>
          <w:tcPr>
            <w:tcW w:w="6170" w:type="dxa"/>
            <w:shd w:val="clear" w:color="auto" w:fill="B8CCE4"/>
            <w:noWrap w:val="0"/>
            <w:vAlign w:val="top"/>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noWrap w:val="0"/>
            <w:vAlign w:val="top"/>
          </w:tcPr>
          <w:p>
            <w:pPr>
              <w:jc w:val="center"/>
              <w:rPr>
                <w:rFonts w:hint="eastAsia" w:ascii="宋体" w:hAnsi="宋体" w:eastAsia="宋体" w:cs="宋体"/>
                <w:b w:val="0"/>
                <w:bCs/>
                <w:i w:val="0"/>
                <w:iCs/>
                <w:color w:val="auto"/>
                <w:sz w:val="21"/>
                <w:szCs w:val="21"/>
              </w:rPr>
            </w:pPr>
            <w:r>
              <w:rPr>
                <w:rFonts w:hint="eastAsia" w:ascii="宋体" w:hAnsi="宋体" w:eastAsia="宋体" w:cs="宋体"/>
                <w:b w:val="0"/>
                <w:bCs/>
                <w:i w:val="0"/>
                <w:iCs/>
                <w:color w:val="auto"/>
                <w:sz w:val="21"/>
                <w:szCs w:val="21"/>
              </w:rPr>
              <w:t>网络协议</w:t>
            </w:r>
          </w:p>
        </w:tc>
        <w:tc>
          <w:tcPr>
            <w:tcW w:w="6170" w:type="dxa"/>
            <w:noWrap w:val="0"/>
            <w:vAlign w:val="top"/>
          </w:tcPr>
          <w:p>
            <w:pPr>
              <w:rPr>
                <w:rFonts w:hint="eastAsia" w:ascii="宋体" w:hAnsi="宋体" w:eastAsia="宋体" w:cs="宋体"/>
                <w:color w:val="auto"/>
                <w:sz w:val="21"/>
                <w:szCs w:val="21"/>
              </w:rPr>
            </w:pPr>
            <w:r>
              <w:rPr>
                <w:rFonts w:hint="eastAsia" w:ascii="宋体" w:hAnsi="宋体" w:eastAsia="宋体" w:cs="宋体"/>
                <w:color w:val="auto"/>
                <w:sz w:val="21"/>
                <w:szCs w:val="21"/>
              </w:rPr>
              <w:t>TCP/UDP、HTTP、ARP/RARP、DNS、NTP、TFTP、TELNET、STUN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noWrap w:val="0"/>
            <w:vAlign w:val="top"/>
          </w:tcPr>
          <w:p>
            <w:pPr>
              <w:jc w:val="center"/>
              <w:rPr>
                <w:rFonts w:hint="eastAsia" w:ascii="宋体" w:hAnsi="宋体" w:eastAsia="宋体" w:cs="宋体"/>
                <w:b w:val="0"/>
                <w:bCs/>
                <w:i w:val="0"/>
                <w:iCs/>
                <w:color w:val="auto"/>
                <w:sz w:val="21"/>
                <w:szCs w:val="21"/>
              </w:rPr>
            </w:pPr>
            <w:r>
              <w:rPr>
                <w:rFonts w:hint="eastAsia" w:ascii="宋体" w:hAnsi="宋体" w:eastAsia="宋体" w:cs="宋体"/>
                <w:b w:val="0"/>
                <w:bCs/>
                <w:i w:val="0"/>
                <w:iCs/>
                <w:color w:val="auto"/>
                <w:sz w:val="21"/>
                <w:szCs w:val="21"/>
              </w:rPr>
              <w:t>静态 IP</w:t>
            </w:r>
          </w:p>
        </w:tc>
        <w:tc>
          <w:tcPr>
            <w:tcW w:w="6170" w:type="dxa"/>
            <w:noWrap w:val="0"/>
            <w:vAlign w:val="top"/>
          </w:tcPr>
          <w:p>
            <w:pPr>
              <w:rPr>
                <w:rFonts w:hint="eastAsia" w:ascii="宋体" w:hAnsi="宋体" w:eastAsia="宋体" w:cs="宋体"/>
                <w:color w:val="auto"/>
                <w:sz w:val="21"/>
                <w:szCs w:val="21"/>
              </w:rPr>
            </w:pPr>
            <w:r>
              <w:rPr>
                <w:rFonts w:hint="eastAsia" w:ascii="宋体" w:hAnsi="宋体" w:eastAsia="宋体" w:cs="宋体"/>
                <w:color w:val="auto"/>
                <w:sz w:val="21"/>
                <w:szCs w:val="21"/>
              </w:rPr>
              <w:t>IP 地址修改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noWrap w:val="0"/>
            <w:vAlign w:val="top"/>
          </w:tcPr>
          <w:p>
            <w:pPr>
              <w:jc w:val="center"/>
              <w:rPr>
                <w:rFonts w:hint="eastAsia" w:ascii="宋体" w:hAnsi="宋体" w:eastAsia="宋体" w:cs="宋体"/>
                <w:b w:val="0"/>
                <w:bCs/>
                <w:i w:val="0"/>
                <w:iCs/>
                <w:color w:val="auto"/>
                <w:sz w:val="21"/>
                <w:szCs w:val="21"/>
              </w:rPr>
            </w:pPr>
            <w:r>
              <w:rPr>
                <w:rFonts w:hint="eastAsia" w:ascii="宋体" w:hAnsi="宋体" w:eastAsia="宋体" w:cs="宋体"/>
                <w:b w:val="0"/>
                <w:bCs/>
                <w:i w:val="0"/>
                <w:iCs/>
                <w:color w:val="auto"/>
                <w:sz w:val="21"/>
                <w:szCs w:val="21"/>
              </w:rPr>
              <w:t>DNS</w:t>
            </w:r>
          </w:p>
        </w:tc>
        <w:tc>
          <w:tcPr>
            <w:tcW w:w="6170" w:type="dxa"/>
            <w:noWrap w:val="0"/>
            <w:vAlign w:val="top"/>
          </w:tcPr>
          <w:p>
            <w:pPr>
              <w:rPr>
                <w:rFonts w:hint="eastAsia" w:ascii="宋体" w:hAnsi="宋体" w:eastAsia="宋体" w:cs="宋体"/>
                <w:color w:val="auto"/>
                <w:sz w:val="21"/>
                <w:szCs w:val="21"/>
              </w:rPr>
            </w:pPr>
            <w:r>
              <w:rPr>
                <w:rFonts w:hint="eastAsia" w:ascii="宋体" w:hAnsi="宋体" w:eastAsia="宋体" w:cs="宋体"/>
                <w:color w:val="auto"/>
                <w:sz w:val="21"/>
                <w:szCs w:val="21"/>
              </w:rPr>
              <w:t>域名解析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shd w:val="clear" w:color="auto" w:fill="B8CCE4"/>
            <w:noWrap w:val="0"/>
            <w:vAlign w:val="top"/>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安全性</w:t>
            </w:r>
          </w:p>
        </w:tc>
        <w:tc>
          <w:tcPr>
            <w:tcW w:w="6170" w:type="dxa"/>
            <w:shd w:val="clear" w:color="auto" w:fill="B8CCE4"/>
            <w:noWrap w:val="0"/>
            <w:vAlign w:val="top"/>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noWrap w:val="0"/>
            <w:vAlign w:val="top"/>
          </w:tcPr>
          <w:p>
            <w:pPr>
              <w:jc w:val="center"/>
              <w:rPr>
                <w:rFonts w:ascii="Arial" w:hAnsi="Arial" w:eastAsia="Arial"/>
                <w:b/>
                <w:bCs w:val="0"/>
                <w:i w:val="0"/>
                <w:iCs/>
                <w:color w:val="auto"/>
                <w:sz w:val="18"/>
              </w:rPr>
            </w:pPr>
            <w:r>
              <w:rPr>
                <w:rFonts w:ascii="宋体" w:hAnsi="宋体" w:eastAsia="宋体"/>
                <w:b w:val="0"/>
                <w:bCs/>
                <w:i w:val="0"/>
                <w:iCs/>
                <w:color w:val="auto"/>
                <w:sz w:val="21"/>
                <w:szCs w:val="21"/>
              </w:rPr>
              <w:t>管理认证</w:t>
            </w:r>
          </w:p>
        </w:tc>
        <w:tc>
          <w:tcPr>
            <w:tcW w:w="6170" w:type="dxa"/>
            <w:noWrap w:val="0"/>
            <w:vAlign w:val="top"/>
          </w:tcPr>
          <w:p>
            <w:pPr>
              <w:rPr>
                <w:rFonts w:hint="eastAsia" w:ascii="宋体" w:hAnsi="宋体" w:eastAsia="宋体" w:cs="宋体"/>
                <w:color w:val="auto"/>
                <w:sz w:val="21"/>
                <w:szCs w:val="21"/>
              </w:rPr>
            </w:pPr>
            <w:r>
              <w:rPr>
                <w:rFonts w:hint="eastAsia" w:ascii="宋体" w:hAnsi="宋体" w:eastAsia="宋体" w:cs="宋体"/>
                <w:color w:val="auto"/>
                <w:sz w:val="21"/>
                <w:szCs w:val="21"/>
              </w:rPr>
              <w:t>支持管理员认证确保资源和数据的安全性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shd w:val="clear" w:color="auto" w:fill="B8CCE4"/>
            <w:noWrap w:val="0"/>
            <w:vAlign w:val="top"/>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维护升级</w:t>
            </w:r>
          </w:p>
        </w:tc>
        <w:tc>
          <w:tcPr>
            <w:tcW w:w="6170" w:type="dxa"/>
            <w:shd w:val="clear" w:color="auto" w:fill="B8CCE4"/>
            <w:noWrap w:val="0"/>
            <w:vAlign w:val="top"/>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noWrap w:val="0"/>
            <w:vAlign w:val="top"/>
          </w:tcPr>
          <w:p>
            <w:pPr>
              <w:jc w:val="center"/>
              <w:rPr>
                <w:rFonts w:hint="eastAsia" w:ascii="宋体" w:hAnsi="宋体" w:eastAsia="宋体" w:cs="宋体"/>
                <w:b w:val="0"/>
                <w:bCs/>
                <w:i w:val="0"/>
                <w:iCs/>
                <w:color w:val="auto"/>
                <w:sz w:val="21"/>
                <w:szCs w:val="21"/>
                <w:lang w:eastAsia="zh-CN"/>
              </w:rPr>
            </w:pPr>
          </w:p>
        </w:tc>
        <w:tc>
          <w:tcPr>
            <w:tcW w:w="6170" w:type="dxa"/>
            <w:noWrap w:val="0"/>
            <w:vAlign w:val="top"/>
          </w:tcPr>
          <w:p>
            <w:pP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支持简单的界面如WEB界面等形式方便维护</w:t>
            </w:r>
          </w:p>
        </w:tc>
      </w:tr>
    </w:tbl>
    <w:p>
      <w:pPr>
        <w:rPr>
          <w:rFonts w:hint="eastAsia"/>
          <w:color w:val="auto"/>
          <w:lang w:val="en-US" w:eastAsia="zh-CN"/>
        </w:rPr>
      </w:pPr>
    </w:p>
    <w:p>
      <w:pPr>
        <w:pStyle w:val="4"/>
        <w:bidi w:val="0"/>
        <w:jc w:val="left"/>
        <w:rPr>
          <w:rFonts w:hint="eastAsia"/>
          <w:color w:val="auto"/>
          <w:lang w:val="en-US" w:eastAsia="zh-CN"/>
        </w:rPr>
      </w:pPr>
      <w:r>
        <w:rPr>
          <w:rFonts w:hint="eastAsia" w:ascii="宋体" w:hAnsi="宋体" w:eastAsia="宋体" w:cs="Times New Roman"/>
          <w:b w:val="0"/>
          <w:bCs w:val="0"/>
          <w:color w:val="auto"/>
          <w:kern w:val="2"/>
          <w:sz w:val="24"/>
          <w:szCs w:val="24"/>
          <w:lang w:val="en-US" w:eastAsia="zh-CN" w:bidi="ar-SA"/>
        </w:rPr>
        <w:t>2.语音套件</w:t>
      </w:r>
      <w:r>
        <w:rPr>
          <w:rFonts w:hint="eastAsia" w:ascii="宋体" w:hAnsi="宋体" w:cs="Times New Roman"/>
          <w:b w:val="0"/>
          <w:bCs w:val="0"/>
          <w:color w:val="auto"/>
          <w:kern w:val="2"/>
          <w:sz w:val="24"/>
          <w:szCs w:val="24"/>
          <w:lang w:val="en-US" w:eastAsia="zh-CN" w:bidi="ar-SA"/>
        </w:rPr>
        <w:t>（10套）</w:t>
      </w:r>
    </w:p>
    <w:tbl>
      <w:tblPr>
        <w:tblStyle w:val="31"/>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6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shd w:val="clear" w:color="auto" w:fill="B8CCE4"/>
            <w:noWrap w:val="0"/>
            <w:vAlign w:val="top"/>
          </w:tcPr>
          <w:p>
            <w:p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产品名称</w:t>
            </w:r>
          </w:p>
        </w:tc>
        <w:tc>
          <w:tcPr>
            <w:tcW w:w="6601" w:type="dxa"/>
            <w:shd w:val="clear" w:color="auto" w:fill="B8CCE4"/>
            <w:noWrap w:val="0"/>
            <w:vAlign w:val="top"/>
          </w:tcPr>
          <w:p>
            <w:p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IP话机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noWrap w:val="0"/>
            <w:vAlign w:val="top"/>
          </w:tcPr>
          <w:p>
            <w:pPr>
              <w:keepNext w:val="0"/>
              <w:keepLines w:val="0"/>
              <w:widowControl/>
              <w:suppressLineNumbers w:val="0"/>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kern w:val="0"/>
                <w:sz w:val="21"/>
                <w:szCs w:val="21"/>
                <w:lang w:val="en-US" w:eastAsia="zh-CN" w:bidi="ar"/>
              </w:rPr>
              <w:t>显示屏</w:t>
            </w:r>
          </w:p>
        </w:tc>
        <w:tc>
          <w:tcPr>
            <w:tcW w:w="6601" w:type="dxa"/>
            <w:noWrap w:val="0"/>
            <w:vAlign w:val="top"/>
          </w:tcPr>
          <w:p>
            <w:pPr>
              <w:keepNext w:val="0"/>
              <w:keepLines w:val="0"/>
              <w:widowControl/>
              <w:suppressLineNumbers w:val="0"/>
              <w:spacing w:line="360" w:lineRule="auto"/>
              <w:jc w:val="left"/>
              <w:rPr>
                <w:rFonts w:hint="default" w:ascii="宋体" w:hAnsi="宋体" w:eastAsia="宋体" w:cs="宋体"/>
                <w:color w:val="auto"/>
                <w:sz w:val="21"/>
                <w:szCs w:val="21"/>
                <w:vertAlign w:val="baseline"/>
                <w:lang w:val="en-US" w:eastAsia="zh-CN"/>
              </w:rPr>
            </w:pPr>
            <w:r>
              <w:rPr>
                <w:rFonts w:hint="eastAsia" w:ascii="宋体" w:hAnsi="宋体" w:cs="宋体"/>
                <w:color w:val="auto"/>
                <w:kern w:val="0"/>
                <w:sz w:val="21"/>
                <w:szCs w:val="21"/>
                <w:lang w:val="en-US" w:eastAsia="zh-CN" w:bidi="ar"/>
              </w:rPr>
              <w:t>具有</w:t>
            </w:r>
            <w:r>
              <w:rPr>
                <w:rFonts w:hint="eastAsia" w:ascii="宋体" w:hAnsi="宋体" w:eastAsia="宋体" w:cs="宋体"/>
                <w:color w:val="auto"/>
                <w:kern w:val="0"/>
                <w:sz w:val="21"/>
                <w:szCs w:val="21"/>
                <w:lang w:val="en-US" w:eastAsia="zh-CN" w:bidi="ar"/>
              </w:rPr>
              <w:t>LCD显示屏</w:t>
            </w:r>
            <w:r>
              <w:rPr>
                <w:rFonts w:hint="eastAsia" w:ascii="宋体" w:hAnsi="宋体" w:cs="宋体"/>
                <w:color w:val="auto"/>
                <w:kern w:val="0"/>
                <w:sz w:val="21"/>
                <w:szCs w:val="21"/>
                <w:lang w:val="en-US" w:eastAsia="zh-CN" w:bidi="ar"/>
              </w:rPr>
              <w:t>方便操作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noWrap w:val="0"/>
            <w:vAlign w:val="top"/>
          </w:tcPr>
          <w:p>
            <w:pPr>
              <w:spacing w:line="360" w:lineRule="auto"/>
              <w:jc w:val="center"/>
              <w:rPr>
                <w:rFonts w:hint="default" w:ascii="宋体" w:hAnsi="宋体" w:eastAsia="宋体" w:cs="宋体"/>
                <w:color w:val="auto"/>
                <w:sz w:val="21"/>
                <w:szCs w:val="21"/>
                <w:vertAlign w:val="baseline"/>
                <w:lang w:val="en-US" w:eastAsia="zh-CN"/>
              </w:rPr>
            </w:pPr>
            <w:r>
              <w:rPr>
                <w:rFonts w:hint="eastAsia" w:ascii="宋体" w:hAnsi="宋体" w:cs="宋体"/>
                <w:color w:val="auto"/>
                <w:kern w:val="0"/>
                <w:sz w:val="21"/>
                <w:szCs w:val="21"/>
                <w:lang w:val="en-US" w:eastAsia="zh-CN" w:bidi="ar"/>
              </w:rPr>
              <w:t>功能面板</w:t>
            </w:r>
          </w:p>
        </w:tc>
        <w:tc>
          <w:tcPr>
            <w:tcW w:w="6601" w:type="dxa"/>
            <w:noWrap w:val="0"/>
            <w:vAlign w:val="top"/>
          </w:tcPr>
          <w:p>
            <w:pPr>
              <w:keepNext w:val="0"/>
              <w:keepLines w:val="0"/>
              <w:widowControl/>
              <w:suppressLineNumbers w:val="0"/>
              <w:spacing w:line="360" w:lineRule="auto"/>
              <w:jc w:val="left"/>
              <w:rPr>
                <w:rFonts w:hint="default" w:ascii="宋体" w:hAnsi="宋体" w:eastAsia="宋体" w:cs="宋体"/>
                <w:color w:val="auto"/>
                <w:sz w:val="21"/>
                <w:szCs w:val="21"/>
                <w:vertAlign w:val="baseline"/>
                <w:lang w:val="en-US" w:eastAsia="zh-CN"/>
              </w:rPr>
            </w:pPr>
            <w:r>
              <w:rPr>
                <w:rFonts w:hint="eastAsia" w:ascii="宋体" w:hAnsi="宋体" w:cs="宋体"/>
                <w:color w:val="auto"/>
                <w:kern w:val="0"/>
                <w:sz w:val="21"/>
                <w:szCs w:val="21"/>
                <w:lang w:val="en-US" w:eastAsia="zh-CN" w:bidi="ar"/>
              </w:rPr>
              <w:t>面板具体全面的</w:t>
            </w:r>
            <w:r>
              <w:rPr>
                <w:rFonts w:hint="eastAsia" w:ascii="宋体" w:hAnsi="宋体" w:eastAsia="宋体" w:cs="宋体"/>
                <w:color w:val="auto"/>
                <w:kern w:val="0"/>
                <w:sz w:val="21"/>
                <w:szCs w:val="21"/>
                <w:lang w:val="en-US" w:eastAsia="zh-CN" w:bidi="ar"/>
              </w:rPr>
              <w:t>专用功能键，包括</w:t>
            </w:r>
            <w:r>
              <w:rPr>
                <w:rFonts w:hint="eastAsia" w:ascii="宋体" w:hAnsi="宋体" w:cs="宋体"/>
                <w:color w:val="auto"/>
                <w:kern w:val="0"/>
                <w:sz w:val="21"/>
                <w:szCs w:val="21"/>
                <w:lang w:val="en-US" w:eastAsia="zh-CN" w:bidi="ar"/>
              </w:rPr>
              <w:t>但不限于</w:t>
            </w:r>
            <w:r>
              <w:rPr>
                <w:rFonts w:hint="eastAsia" w:ascii="宋体" w:hAnsi="宋体" w:eastAsia="宋体" w:cs="宋体"/>
                <w:color w:val="auto"/>
                <w:kern w:val="0"/>
                <w:sz w:val="21"/>
                <w:szCs w:val="21"/>
                <w:lang w:val="en-US" w:eastAsia="zh-CN" w:bidi="ar"/>
              </w:rPr>
              <w:t>PAGE/INTERCOM，通讯录，语音信箱，Home键，呼叫保持，录音，静音，耳机，转移，会议，发送，重拨，扬声器，音量调节</w:t>
            </w:r>
            <w:r>
              <w:rPr>
                <w:rFonts w:hint="eastAsia" w:ascii="宋体" w:hAnsi="宋体" w:cs="宋体"/>
                <w:color w:val="auto"/>
                <w:kern w:val="0"/>
                <w:sz w:val="21"/>
                <w:szCs w:val="21"/>
                <w:lang w:val="en-US" w:eastAsia="zh-CN"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noWrap w:val="0"/>
            <w:vAlign w:val="top"/>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支架</w:t>
            </w:r>
          </w:p>
        </w:tc>
        <w:tc>
          <w:tcPr>
            <w:tcW w:w="6601" w:type="dxa"/>
            <w:noWrap w:val="0"/>
            <w:vAlign w:val="top"/>
          </w:tcPr>
          <w:p>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kern w:val="0"/>
                <w:sz w:val="21"/>
                <w:szCs w:val="21"/>
                <w:lang w:val="en-US" w:eastAsia="zh-CN" w:bidi="ar"/>
              </w:rPr>
              <w:t>支持，两个角度可选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noWrap w:val="0"/>
            <w:vAlign w:val="top"/>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安装</w:t>
            </w:r>
          </w:p>
        </w:tc>
        <w:tc>
          <w:tcPr>
            <w:tcW w:w="6601" w:type="dxa"/>
            <w:noWrap w:val="0"/>
            <w:vAlign w:val="top"/>
          </w:tcPr>
          <w:p>
            <w:pPr>
              <w:keepNext w:val="0"/>
              <w:keepLines w:val="0"/>
              <w:widowControl/>
              <w:suppressLineNumbers w:val="0"/>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kern w:val="0"/>
                <w:sz w:val="21"/>
                <w:szCs w:val="21"/>
                <w:lang w:val="en-US" w:eastAsia="zh-CN" w:bidi="ar"/>
              </w:rPr>
              <w:t>支持桌面摆放安装、支持挂墙安装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noWrap w:val="0"/>
            <w:vAlign w:val="top"/>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接口</w:t>
            </w:r>
          </w:p>
        </w:tc>
        <w:tc>
          <w:tcPr>
            <w:tcW w:w="6601" w:type="dxa"/>
            <w:noWrap w:val="0"/>
            <w:vAlign w:val="top"/>
          </w:tcPr>
          <w:p>
            <w:pPr>
              <w:keepNext w:val="0"/>
              <w:keepLines w:val="0"/>
              <w:widowControl/>
              <w:suppressLineNumbers w:val="0"/>
              <w:spacing w:line="360" w:lineRule="auto"/>
              <w:jc w:val="left"/>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配置有</w:t>
            </w:r>
            <w:r>
              <w:rPr>
                <w:rFonts w:hint="eastAsia" w:ascii="宋体" w:hAnsi="宋体" w:eastAsia="宋体" w:cs="宋体"/>
                <w:color w:val="auto"/>
                <w:kern w:val="0"/>
                <w:sz w:val="21"/>
                <w:szCs w:val="21"/>
                <w:lang w:val="en-US" w:eastAsia="zh-CN" w:bidi="ar"/>
              </w:rPr>
              <w:t>两个</w:t>
            </w:r>
            <w:r>
              <w:rPr>
                <w:rFonts w:hint="eastAsia" w:ascii="宋体" w:hAnsi="宋体" w:cs="宋体"/>
                <w:color w:val="auto"/>
                <w:kern w:val="0"/>
                <w:sz w:val="21"/>
                <w:szCs w:val="21"/>
                <w:lang w:val="en-US" w:eastAsia="zh-CN" w:bidi="ar"/>
              </w:rPr>
              <w:t>及以上</w:t>
            </w:r>
            <w:r>
              <w:rPr>
                <w:rFonts w:hint="eastAsia" w:ascii="宋体" w:hAnsi="宋体" w:eastAsia="宋体" w:cs="宋体"/>
                <w:color w:val="auto"/>
                <w:kern w:val="0"/>
                <w:sz w:val="21"/>
                <w:szCs w:val="21"/>
                <w:lang w:val="en-US" w:eastAsia="zh-CN" w:bidi="ar"/>
              </w:rPr>
              <w:t>自适应交换式以太网口</w:t>
            </w:r>
          </w:p>
          <w:p>
            <w:pPr>
              <w:keepNext w:val="0"/>
              <w:keepLines w:val="0"/>
              <w:widowControl/>
              <w:suppressLineNumbers w:val="0"/>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cs="宋体"/>
                <w:color w:val="auto"/>
                <w:kern w:val="0"/>
                <w:sz w:val="21"/>
                <w:szCs w:val="21"/>
                <w:lang w:val="en-US" w:eastAsia="zh-CN" w:bidi="ar"/>
              </w:rPr>
              <w:t>配置有一个</w:t>
            </w:r>
            <w:r>
              <w:rPr>
                <w:rFonts w:hint="eastAsia" w:ascii="宋体" w:hAnsi="宋体" w:eastAsia="宋体" w:cs="宋体"/>
                <w:color w:val="auto"/>
                <w:kern w:val="0"/>
                <w:sz w:val="21"/>
                <w:szCs w:val="21"/>
                <w:lang w:val="en-US" w:eastAsia="zh-CN" w:bidi="ar"/>
              </w:rPr>
              <w:t>RJ9耳机接口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noWrap w:val="0"/>
            <w:vAlign w:val="top"/>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kern w:val="0"/>
                <w:sz w:val="21"/>
                <w:szCs w:val="21"/>
                <w:lang w:val="en-US" w:eastAsia="zh-CN" w:bidi="ar"/>
              </w:rPr>
              <w:t>语音</w:t>
            </w:r>
          </w:p>
        </w:tc>
        <w:tc>
          <w:tcPr>
            <w:tcW w:w="6601" w:type="dxa"/>
            <w:noWrap w:val="0"/>
            <w:vAlign w:val="top"/>
          </w:tcPr>
          <w:p>
            <w:pPr>
              <w:keepNext w:val="0"/>
              <w:keepLines w:val="0"/>
              <w:widowControl/>
              <w:suppressLineNumbers w:val="0"/>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kern w:val="0"/>
                <w:sz w:val="21"/>
                <w:szCs w:val="21"/>
                <w:lang w:val="en-US" w:eastAsia="zh-CN" w:bidi="ar"/>
              </w:rPr>
              <w:t>高清语音；支持手柄，免提和耳机高清宽带语音通话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noWrap w:val="0"/>
            <w:vAlign w:val="top"/>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kern w:val="0"/>
                <w:sz w:val="21"/>
                <w:szCs w:val="21"/>
                <w:lang w:val="en-US" w:eastAsia="zh-CN" w:bidi="ar"/>
              </w:rPr>
              <w:t>语音编码</w:t>
            </w:r>
          </w:p>
        </w:tc>
        <w:tc>
          <w:tcPr>
            <w:tcW w:w="6601" w:type="dxa"/>
            <w:noWrap w:val="0"/>
            <w:vAlign w:val="top"/>
          </w:tcPr>
          <w:p>
            <w:pPr>
              <w:keepNext w:val="0"/>
              <w:keepLines w:val="0"/>
              <w:widowControl/>
              <w:suppressLineNumbers w:val="0"/>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cs="宋体"/>
                <w:color w:val="auto"/>
                <w:kern w:val="0"/>
                <w:sz w:val="21"/>
                <w:szCs w:val="21"/>
                <w:lang w:val="en-US" w:eastAsia="zh-CN" w:bidi="ar"/>
              </w:rPr>
              <w:t>支持</w:t>
            </w:r>
            <w:r>
              <w:rPr>
                <w:rFonts w:hint="eastAsia" w:ascii="宋体" w:hAnsi="宋体" w:eastAsia="宋体" w:cs="宋体"/>
                <w:color w:val="auto"/>
                <w:kern w:val="0"/>
                <w:sz w:val="21"/>
                <w:szCs w:val="21"/>
                <w:lang w:val="en-US" w:eastAsia="zh-CN" w:bidi="ar"/>
              </w:rPr>
              <w:t xml:space="preserve">G.711μ/a, G.722 </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lang w:val="en-US" w:eastAsia="zh-CN" w:bidi="ar"/>
              </w:rPr>
              <w:t>wide-band</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lang w:val="en-US" w:eastAsia="zh-CN" w:bidi="ar"/>
              </w:rPr>
              <w:t xml:space="preserve">, G.723（pending）, G.726-32, G.729 A/B, iLBC </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lang w:val="en-US" w:eastAsia="zh-CN" w:bidi="ar"/>
              </w:rPr>
              <w:t>pending</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lang w:val="en-US" w:eastAsia="zh-CN" w:bidi="ar"/>
              </w:rPr>
              <w:t xml:space="preserve">, Opus </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lang w:val="en-US" w:eastAsia="zh-CN" w:bidi="ar"/>
              </w:rPr>
              <w:t>pending</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lang w:val="en-US" w:eastAsia="zh-CN" w:bidi="ar"/>
              </w:rPr>
              <w:t xml:space="preserve">, in-band and out-of-band DTMF </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lang w:val="en-US" w:eastAsia="zh-CN" w:bidi="ar"/>
              </w:rPr>
              <w:t>In audio, RFC2833, SIP INFO</w:t>
            </w:r>
            <w:r>
              <w:rPr>
                <w:rFonts w:hint="eastAsia" w:ascii="宋体" w:hAnsi="宋体" w:cs="宋体"/>
                <w:color w:val="auto"/>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noWrap w:val="0"/>
            <w:vAlign w:val="top"/>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kern w:val="0"/>
                <w:sz w:val="21"/>
                <w:szCs w:val="21"/>
                <w:lang w:val="en-US" w:eastAsia="zh-CN" w:bidi="ar"/>
              </w:rPr>
              <w:t>协议</w:t>
            </w:r>
          </w:p>
        </w:tc>
        <w:tc>
          <w:tcPr>
            <w:tcW w:w="6601" w:type="dxa"/>
            <w:noWrap w:val="0"/>
            <w:vAlign w:val="top"/>
          </w:tcPr>
          <w:p>
            <w:pPr>
              <w:keepNext w:val="0"/>
              <w:keepLines w:val="0"/>
              <w:widowControl/>
              <w:suppressLineNumbers w:val="0"/>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cs="宋体"/>
                <w:color w:val="auto"/>
                <w:kern w:val="0"/>
                <w:sz w:val="21"/>
                <w:szCs w:val="21"/>
                <w:lang w:val="en-US" w:eastAsia="zh-CN" w:bidi="ar"/>
              </w:rPr>
              <w:t>支持</w:t>
            </w:r>
            <w:r>
              <w:rPr>
                <w:rFonts w:hint="eastAsia" w:ascii="宋体" w:hAnsi="宋体" w:eastAsia="宋体" w:cs="宋体"/>
                <w:color w:val="auto"/>
                <w:kern w:val="0"/>
                <w:sz w:val="21"/>
                <w:szCs w:val="21"/>
                <w:lang w:val="en-US" w:eastAsia="zh-CN" w:bidi="ar"/>
              </w:rPr>
              <w:t xml:space="preserve">SIP RFC3261, TCP/IP/UDP, RTP/RTCP, HTTP/HTTPS, ARP/RARP, ICMP, DNS </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lang w:val="en-US" w:eastAsia="zh-CN" w:bidi="ar"/>
              </w:rPr>
              <w:t>A record, SRV, NAPTR</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lang w:val="en-US" w:eastAsia="zh-CN" w:bidi="ar"/>
              </w:rPr>
              <w:t>, DHCP, PPPoE, SSH, TFTP, NTP, STUN, SIMPLE, LLDP-MED, LDAP, TR-069, 802.1x, TLS, SRTP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noWrap w:val="0"/>
            <w:vAlign w:val="top"/>
          </w:tcPr>
          <w:p>
            <w:pPr>
              <w:spacing w:line="360" w:lineRule="auto"/>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电话功能</w:t>
            </w:r>
          </w:p>
        </w:tc>
        <w:tc>
          <w:tcPr>
            <w:tcW w:w="6601" w:type="dxa"/>
            <w:noWrap w:val="0"/>
            <w:vAlign w:val="top"/>
          </w:tcPr>
          <w:p>
            <w:pPr>
              <w:keepNext w:val="0"/>
              <w:keepLines w:val="0"/>
              <w:widowControl/>
              <w:suppressLineNumbers w:val="0"/>
              <w:spacing w:line="360" w:lineRule="auto"/>
              <w:jc w:val="left"/>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支持</w:t>
            </w:r>
            <w:r>
              <w:rPr>
                <w:rFonts w:hint="eastAsia" w:ascii="宋体" w:hAnsi="宋体" w:eastAsia="宋体" w:cs="宋体"/>
                <w:color w:val="auto"/>
                <w:kern w:val="0"/>
                <w:sz w:val="21"/>
                <w:szCs w:val="21"/>
                <w:lang w:val="en-US" w:eastAsia="zh-CN" w:bidi="ar"/>
              </w:rPr>
              <w:t>呼叫保持，呼叫转移，呼叫前转（无条件/无应答/遇忙），三方会议，呼叫停泊/代接，可下载通讯录</w:t>
            </w:r>
            <w:r>
              <w:rPr>
                <w:rFonts w:hint="eastAsia" w:ascii="宋体" w:hAnsi="宋体" w:eastAsia="宋体" w:cs="宋体"/>
                <w:color w:val="FF0000"/>
                <w:kern w:val="0"/>
                <w:sz w:val="21"/>
                <w:szCs w:val="21"/>
                <w:lang w:val="en-US" w:eastAsia="zh-CN" w:bidi="ar"/>
              </w:rPr>
              <w:t>（</w:t>
            </w:r>
            <w:r>
              <w:rPr>
                <w:rFonts w:hint="eastAsia" w:ascii="宋体" w:hAnsi="宋体" w:cs="宋体"/>
                <w:color w:val="FF0000"/>
                <w:kern w:val="0"/>
                <w:sz w:val="21"/>
                <w:szCs w:val="21"/>
                <w:lang w:val="en-US" w:eastAsia="zh-CN" w:bidi="ar"/>
              </w:rPr>
              <w:t>支持不少于5</w:t>
            </w:r>
            <w:r>
              <w:rPr>
                <w:rFonts w:hint="eastAsia" w:ascii="宋体" w:hAnsi="宋体" w:eastAsia="宋体" w:cs="宋体"/>
                <w:color w:val="FF0000"/>
                <w:kern w:val="0"/>
                <w:sz w:val="21"/>
                <w:szCs w:val="21"/>
                <w:lang w:val="en-US" w:eastAsia="zh-CN" w:bidi="ar"/>
              </w:rPr>
              <w:t>00条）</w:t>
            </w:r>
            <w:r>
              <w:rPr>
                <w:rFonts w:hint="eastAsia" w:ascii="宋体" w:hAnsi="宋体" w:eastAsia="宋体" w:cs="宋体"/>
                <w:color w:val="auto"/>
                <w:kern w:val="0"/>
                <w:sz w:val="21"/>
                <w:szCs w:val="21"/>
                <w:lang w:val="en-US" w:eastAsia="zh-CN" w:bidi="ar"/>
              </w:rPr>
              <w:t>，呼叫等待，通话记录</w:t>
            </w:r>
            <w:r>
              <w:rPr>
                <w:rFonts w:hint="eastAsia" w:ascii="宋体" w:hAnsi="宋体" w:cs="宋体"/>
                <w:color w:val="FF0000"/>
                <w:kern w:val="0"/>
                <w:sz w:val="21"/>
                <w:szCs w:val="21"/>
                <w:highlight w:val="none"/>
                <w:lang w:val="en-US" w:eastAsia="zh-CN" w:bidi="ar"/>
              </w:rPr>
              <w:t>（</w:t>
            </w:r>
            <w:r>
              <w:rPr>
                <w:rFonts w:hint="eastAsia" w:ascii="宋体" w:hAnsi="宋体" w:cs="宋体"/>
                <w:color w:val="FF0000"/>
                <w:kern w:val="0"/>
                <w:sz w:val="21"/>
                <w:szCs w:val="21"/>
                <w:lang w:val="en-US" w:eastAsia="zh-CN" w:bidi="ar"/>
              </w:rPr>
              <w:t>支持不少于2</w:t>
            </w:r>
            <w:r>
              <w:rPr>
                <w:rFonts w:hint="eastAsia" w:ascii="宋体" w:hAnsi="宋体" w:eastAsia="宋体" w:cs="宋体"/>
                <w:color w:val="FF0000"/>
                <w:kern w:val="0"/>
                <w:sz w:val="21"/>
                <w:szCs w:val="21"/>
                <w:lang w:val="en-US" w:eastAsia="zh-CN" w:bidi="ar"/>
              </w:rPr>
              <w:t>00条</w:t>
            </w:r>
            <w:r>
              <w:rPr>
                <w:rFonts w:hint="eastAsia" w:ascii="宋体" w:hAnsi="宋体" w:cs="宋体"/>
                <w:color w:val="FF0000"/>
                <w:kern w:val="0"/>
                <w:sz w:val="21"/>
                <w:szCs w:val="21"/>
                <w:highlight w:val="none"/>
                <w:lang w:val="en-US" w:eastAsia="zh-CN" w:bidi="ar"/>
              </w:rPr>
              <w:t>）</w:t>
            </w:r>
            <w:r>
              <w:rPr>
                <w:rFonts w:hint="eastAsia" w:ascii="宋体" w:hAnsi="宋体" w:eastAsia="宋体" w:cs="宋体"/>
                <w:color w:val="auto"/>
                <w:kern w:val="0"/>
                <w:sz w:val="21"/>
                <w:szCs w:val="21"/>
                <w:lang w:val="en-US" w:eastAsia="zh-CN" w:bidi="ar"/>
              </w:rPr>
              <w:t>，摘机自动拨号，自动应答，一键拨号，灵活的拨号计划，hot desking，自定义铃声，服务器冗余&amp;故障转移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noWrap w:val="0"/>
            <w:vAlign w:val="top"/>
          </w:tcPr>
          <w:p>
            <w:pPr>
              <w:spacing w:line="360" w:lineRule="auto"/>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高清音频</w:t>
            </w:r>
          </w:p>
        </w:tc>
        <w:tc>
          <w:tcPr>
            <w:tcW w:w="6601" w:type="dxa"/>
            <w:noWrap w:val="0"/>
            <w:vAlign w:val="top"/>
          </w:tcPr>
          <w:p>
            <w:pPr>
              <w:keepNext w:val="0"/>
              <w:keepLines w:val="0"/>
              <w:widowControl/>
              <w:suppressLineNumbers w:val="0"/>
              <w:spacing w:line="360" w:lineRule="auto"/>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支持高保真全宽带音频手柄和带回音消除的全双工免提扬声器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noWrap w:val="0"/>
            <w:vAlign w:val="top"/>
          </w:tcPr>
          <w:p>
            <w:pPr>
              <w:spacing w:line="360" w:lineRule="auto"/>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配置管理</w:t>
            </w:r>
          </w:p>
        </w:tc>
        <w:tc>
          <w:tcPr>
            <w:tcW w:w="6601" w:type="dxa"/>
            <w:noWrap w:val="0"/>
            <w:vAlign w:val="top"/>
          </w:tcPr>
          <w:p>
            <w:pPr>
              <w:keepNext w:val="0"/>
              <w:keepLines w:val="0"/>
              <w:widowControl/>
              <w:suppressLineNumbers w:val="0"/>
              <w:spacing w:line="360" w:lineRule="auto"/>
              <w:jc w:val="left"/>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支持</w:t>
            </w:r>
            <w:r>
              <w:rPr>
                <w:rFonts w:hint="eastAsia" w:ascii="宋体" w:hAnsi="宋体" w:eastAsia="宋体" w:cs="宋体"/>
                <w:color w:val="auto"/>
                <w:kern w:val="0"/>
                <w:sz w:val="21"/>
                <w:szCs w:val="21"/>
                <w:lang w:val="en-US" w:eastAsia="zh-CN" w:bidi="ar"/>
              </w:rPr>
              <w:t>远程管理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noWrap w:val="0"/>
            <w:vAlign w:val="top"/>
          </w:tcPr>
          <w:p>
            <w:pPr>
              <w:spacing w:line="360" w:lineRule="auto"/>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升级</w:t>
            </w:r>
          </w:p>
        </w:tc>
        <w:tc>
          <w:tcPr>
            <w:tcW w:w="6601" w:type="dxa"/>
            <w:noWrap w:val="0"/>
            <w:vAlign w:val="top"/>
          </w:tcPr>
          <w:p>
            <w:pPr>
              <w:keepNext w:val="0"/>
              <w:keepLines w:val="0"/>
              <w:widowControl/>
              <w:suppressLineNumbers w:val="0"/>
              <w:spacing w:line="360" w:lineRule="auto"/>
              <w:jc w:val="left"/>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支持</w:t>
            </w:r>
            <w:r>
              <w:rPr>
                <w:rFonts w:hint="eastAsia" w:ascii="宋体" w:hAnsi="宋体" w:eastAsia="宋体" w:cs="宋体"/>
                <w:color w:val="auto"/>
                <w:kern w:val="0"/>
                <w:sz w:val="21"/>
                <w:szCs w:val="21"/>
                <w:lang w:val="en-US" w:eastAsia="zh-CN" w:bidi="ar"/>
              </w:rPr>
              <w:t>TFTP/HTTP/HTTPS方式升级固件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noWrap w:val="0"/>
            <w:vAlign w:val="top"/>
          </w:tcPr>
          <w:p>
            <w:pPr>
              <w:spacing w:line="360" w:lineRule="auto"/>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安全性</w:t>
            </w:r>
          </w:p>
        </w:tc>
        <w:tc>
          <w:tcPr>
            <w:tcW w:w="6601" w:type="dxa"/>
            <w:noWrap w:val="0"/>
            <w:vAlign w:val="top"/>
          </w:tcPr>
          <w:p>
            <w:pPr>
              <w:keepNext w:val="0"/>
              <w:keepLines w:val="0"/>
              <w:widowControl/>
              <w:suppressLineNumbers w:val="0"/>
              <w:spacing w:line="360" w:lineRule="auto"/>
              <w:jc w:val="left"/>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具有权限管理功能，</w:t>
            </w:r>
            <w:r>
              <w:rPr>
                <w:rFonts w:hint="eastAsia" w:ascii="宋体" w:hAnsi="宋体" w:eastAsia="宋体" w:cs="宋体"/>
                <w:color w:val="auto"/>
                <w:kern w:val="0"/>
                <w:sz w:val="21"/>
                <w:szCs w:val="21"/>
                <w:lang w:val="en-US" w:eastAsia="zh-CN" w:bidi="ar"/>
              </w:rPr>
              <w:t>区分普通用户和管理员权限；MD5和MD5-sess based鉴权；AES 安全配置文件；SRTP和TLS通话加密；802.1x媒体访问控制QoS</w:t>
            </w:r>
            <w:r>
              <w:rPr>
                <w:rFonts w:hint="eastAsia" w:ascii="宋体" w:hAnsi="宋体" w:eastAsia="宋体" w:cs="宋体"/>
                <w:color w:val="auto"/>
                <w:kern w:val="0"/>
                <w:sz w:val="21"/>
                <w:szCs w:val="21"/>
                <w:lang w:val="en-US" w:eastAsia="zh-CN" w:bidi="ar"/>
              </w:rPr>
              <w:tab/>
            </w:r>
            <w:r>
              <w:rPr>
                <w:rFonts w:hint="eastAsia" w:ascii="宋体" w:hAnsi="宋体" w:eastAsia="宋体" w:cs="宋体"/>
                <w:color w:val="auto"/>
                <w:kern w:val="0"/>
                <w:sz w:val="21"/>
                <w:szCs w:val="21"/>
                <w:lang w:val="en-US" w:eastAsia="zh-CN" w:bidi="ar"/>
              </w:rPr>
              <w:t xml:space="preserve">Layer 2 QoS </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lang w:val="en-US" w:eastAsia="zh-CN" w:bidi="ar"/>
              </w:rPr>
              <w:t>802.1Q, 802.1P</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lang w:val="en-US" w:eastAsia="zh-CN" w:bidi="ar"/>
              </w:rPr>
              <w:t xml:space="preserve">和 Layer 3 </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lang w:val="en-US" w:eastAsia="zh-CN" w:bidi="ar"/>
              </w:rPr>
              <w:t>ToS, DiffServ, MPLS</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lang w:val="en-US" w:eastAsia="zh-CN" w:bidi="ar"/>
              </w:rPr>
              <w:t xml:space="preserve"> QoS</w:t>
            </w:r>
            <w:r>
              <w:rPr>
                <w:rFonts w:hint="eastAsia" w:ascii="宋体" w:hAnsi="宋体" w:cs="宋体"/>
                <w:color w:val="auto"/>
                <w:kern w:val="0"/>
                <w:sz w:val="21"/>
                <w:szCs w:val="21"/>
                <w:lang w:val="en-US" w:eastAsia="zh-CN" w:bidi="ar"/>
              </w:rPr>
              <w:t>等</w:t>
            </w:r>
          </w:p>
        </w:tc>
      </w:tr>
    </w:tbl>
    <w:p>
      <w:pPr>
        <w:rPr>
          <w:rFonts w:hint="eastAsia" w:ascii="宋体" w:hAnsi="宋体" w:eastAsia="宋体" w:cs="宋体"/>
          <w:color w:val="auto"/>
          <w:sz w:val="21"/>
          <w:szCs w:val="21"/>
          <w:lang w:val="en-US" w:eastAsia="zh-CN"/>
        </w:rPr>
      </w:pPr>
    </w:p>
    <w:tbl>
      <w:tblPr>
        <w:tblStyle w:val="31"/>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6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shd w:val="clear" w:color="auto" w:fill="B8CCE4"/>
            <w:noWrap w:val="0"/>
            <w:vAlign w:val="top"/>
          </w:tcPr>
          <w:p>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产品名称</w:t>
            </w:r>
          </w:p>
        </w:tc>
        <w:tc>
          <w:tcPr>
            <w:tcW w:w="6601" w:type="dxa"/>
            <w:shd w:val="clear" w:color="auto" w:fill="B8CCE4"/>
            <w:noWrap w:val="0"/>
            <w:vAlign w:val="top"/>
          </w:tcPr>
          <w:p>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专业级宽频话务耳机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noWrap w:val="0"/>
            <w:vAlign w:val="center"/>
          </w:tcPr>
          <w:p>
            <w:pPr>
              <w:keepNext w:val="0"/>
              <w:keepLines w:val="0"/>
              <w:widowControl/>
              <w:suppressLineNumbers w:val="0"/>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主要特性</w:t>
            </w:r>
          </w:p>
        </w:tc>
        <w:tc>
          <w:tcPr>
            <w:tcW w:w="6601" w:type="dxa"/>
            <w:noWrap w:val="0"/>
            <w:vAlign w:val="top"/>
          </w:tcPr>
          <w:p>
            <w:pPr>
              <w:keepNext w:val="0"/>
              <w:keepLines w:val="0"/>
              <w:widowControl/>
              <w:suppressLineNumbers w:val="0"/>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与标准带宽环境兼容</w:t>
            </w:r>
          </w:p>
          <w:p>
            <w:pPr>
              <w:keepNext w:val="0"/>
              <w:keepLines w:val="0"/>
              <w:widowControl/>
              <w:suppressLineNumbers w:val="0"/>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通话</w:t>
            </w:r>
            <w:r>
              <w:rPr>
                <w:rFonts w:hint="eastAsia" w:ascii="宋体" w:hAnsi="宋体" w:eastAsia="宋体" w:cs="宋体"/>
                <w:color w:val="auto"/>
                <w:sz w:val="21"/>
                <w:szCs w:val="21"/>
                <w:vertAlign w:val="baseline"/>
                <w:lang w:val="en-US" w:eastAsia="zh-CN"/>
              </w:rPr>
              <w:t>清晰</w:t>
            </w:r>
            <w:r>
              <w:rPr>
                <w:rFonts w:hint="eastAsia" w:ascii="宋体" w:hAnsi="宋体" w:cs="宋体"/>
                <w:color w:val="auto"/>
                <w:sz w:val="21"/>
                <w:szCs w:val="21"/>
                <w:vertAlign w:val="baseline"/>
                <w:lang w:val="en-US" w:eastAsia="zh-CN"/>
              </w:rPr>
              <w:t>，音质确保优质，方便与客户沟通</w:t>
            </w:r>
          </w:p>
          <w:p>
            <w:pPr>
              <w:keepNext w:val="0"/>
              <w:keepLines w:val="0"/>
              <w:widowControl/>
              <w:suppressLineNumbers w:val="0"/>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麦克风</w:t>
            </w:r>
            <w:r>
              <w:rPr>
                <w:rFonts w:hint="eastAsia" w:ascii="宋体" w:hAnsi="宋体" w:cs="宋体"/>
                <w:color w:val="auto"/>
                <w:sz w:val="21"/>
                <w:szCs w:val="21"/>
                <w:vertAlign w:val="baseline"/>
                <w:lang w:val="en-US" w:eastAsia="zh-CN"/>
              </w:rPr>
              <w:t>具有</w:t>
            </w:r>
            <w:r>
              <w:rPr>
                <w:rFonts w:hint="eastAsia" w:ascii="宋体" w:hAnsi="宋体" w:eastAsia="宋体" w:cs="宋体"/>
                <w:color w:val="auto"/>
                <w:sz w:val="21"/>
                <w:szCs w:val="21"/>
                <w:vertAlign w:val="baseline"/>
                <w:lang w:val="en-US" w:eastAsia="zh-CN"/>
              </w:rPr>
              <w:t>降噪</w:t>
            </w:r>
            <w:r>
              <w:rPr>
                <w:rFonts w:hint="eastAsia" w:ascii="宋体" w:hAnsi="宋体" w:cs="宋体"/>
                <w:color w:val="auto"/>
                <w:sz w:val="21"/>
                <w:szCs w:val="21"/>
                <w:vertAlign w:val="baseline"/>
                <w:lang w:val="en-US" w:eastAsia="zh-CN"/>
              </w:rPr>
              <w:t>功能，有</w:t>
            </w:r>
            <w:r>
              <w:rPr>
                <w:rFonts w:hint="eastAsia" w:ascii="宋体" w:hAnsi="宋体" w:eastAsia="宋体" w:cs="宋体"/>
                <w:color w:val="auto"/>
                <w:sz w:val="21"/>
                <w:szCs w:val="21"/>
                <w:vertAlign w:val="baseline"/>
                <w:lang w:val="en-US" w:eastAsia="zh-CN"/>
              </w:rPr>
              <w:t>效减少背景</w:t>
            </w:r>
            <w:r>
              <w:rPr>
                <w:rFonts w:hint="eastAsia" w:ascii="宋体" w:hAnsi="宋体" w:eastAsia="宋体" w:cs="宋体"/>
                <w:color w:val="auto"/>
                <w:sz w:val="21"/>
                <w:szCs w:val="21"/>
                <w:highlight w:val="none"/>
                <w:vertAlign w:val="baseline"/>
                <w:lang w:val="en-US" w:eastAsia="zh-CN"/>
              </w:rPr>
              <w:t>噪音</w:t>
            </w:r>
            <w:r>
              <w:rPr>
                <w:rFonts w:hint="eastAsia" w:ascii="宋体" w:hAnsi="宋体" w:eastAsia="宋体" w:cs="宋体"/>
                <w:color w:val="auto"/>
                <w:sz w:val="21"/>
                <w:szCs w:val="21"/>
                <w:vertAlign w:val="baseline"/>
                <w:lang w:val="en-US" w:eastAsia="zh-CN"/>
              </w:rPr>
              <w:t>、降低干扰</w:t>
            </w:r>
          </w:p>
          <w:p>
            <w:pPr>
              <w:keepNext w:val="0"/>
              <w:keepLines w:val="0"/>
              <w:widowControl/>
              <w:suppressLineNumbers w:val="0"/>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人体工程学设计</w:t>
            </w:r>
            <w:r>
              <w:rPr>
                <w:rFonts w:hint="eastAsia" w:ascii="宋体" w:hAnsi="宋体" w:cs="宋体"/>
                <w:color w:val="auto"/>
                <w:sz w:val="21"/>
                <w:szCs w:val="21"/>
                <w:vertAlign w:val="baseline"/>
                <w:lang w:val="en-US" w:eastAsia="zh-CN"/>
              </w:rPr>
              <w:t>，保证使用舒适，</w:t>
            </w:r>
            <w:r>
              <w:rPr>
                <w:rFonts w:hint="eastAsia" w:ascii="宋体" w:hAnsi="宋体" w:eastAsia="宋体" w:cs="宋体"/>
                <w:color w:val="auto"/>
                <w:sz w:val="21"/>
                <w:szCs w:val="21"/>
                <w:vertAlign w:val="baseline"/>
                <w:lang w:val="en-US" w:eastAsia="zh-CN"/>
              </w:rPr>
              <w:t>便于频繁使用</w:t>
            </w:r>
          </w:p>
          <w:p>
            <w:pPr>
              <w:keepNext w:val="0"/>
              <w:keepLines w:val="0"/>
              <w:widowControl/>
              <w:suppressLineNumbers w:val="0"/>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可旋转麦克风吊臂杆</w:t>
            </w:r>
          </w:p>
          <w:p>
            <w:pPr>
              <w:keepNext w:val="0"/>
              <w:keepLines w:val="0"/>
              <w:widowControl/>
              <w:suppressLineNumbers w:val="0"/>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头戴式</w:t>
            </w:r>
          </w:p>
          <w:p>
            <w:pPr>
              <w:keepNext w:val="0"/>
              <w:keepLines w:val="0"/>
              <w:widowControl/>
              <w:suppressLineNumbers w:val="0"/>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即插即用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jc w:val="center"/>
        </w:trPr>
        <w:tc>
          <w:tcPr>
            <w:tcW w:w="2476" w:type="dxa"/>
            <w:noWrap w:val="0"/>
            <w:vAlign w:val="center"/>
          </w:tcPr>
          <w:p>
            <w:pPr>
              <w:keepNext w:val="0"/>
              <w:keepLines w:val="0"/>
              <w:widowControl/>
              <w:suppressLineNumbers w:val="0"/>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物理特性</w:t>
            </w:r>
          </w:p>
        </w:tc>
        <w:tc>
          <w:tcPr>
            <w:tcW w:w="6601" w:type="dxa"/>
            <w:noWrap w:val="0"/>
            <w:vAlign w:val="top"/>
          </w:tcPr>
          <w:p>
            <w:pPr>
              <w:keepNext w:val="0"/>
              <w:keepLines w:val="0"/>
              <w:widowControl/>
              <w:suppressLineNumbers w:val="0"/>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1个</w:t>
            </w:r>
            <w:r>
              <w:rPr>
                <w:rFonts w:hint="eastAsia" w:ascii="宋体" w:hAnsi="宋体" w:cs="宋体"/>
                <w:color w:val="auto"/>
                <w:sz w:val="21"/>
                <w:szCs w:val="21"/>
                <w:vertAlign w:val="baseline"/>
                <w:lang w:val="en-US" w:eastAsia="zh-CN"/>
              </w:rPr>
              <w:t>以上</w:t>
            </w:r>
            <w:r>
              <w:rPr>
                <w:rFonts w:hint="eastAsia" w:ascii="宋体" w:hAnsi="宋体" w:eastAsia="宋体" w:cs="宋体"/>
                <w:color w:val="auto"/>
                <w:sz w:val="21"/>
                <w:szCs w:val="21"/>
                <w:vertAlign w:val="baseline"/>
                <w:lang w:val="en-US" w:eastAsia="zh-CN"/>
              </w:rPr>
              <w:t xml:space="preserve">RJ9 </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vertAlign w:val="baseline"/>
                <w:lang w:val="en-US" w:eastAsia="zh-CN"/>
              </w:rPr>
              <w:t>4P4C</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vertAlign w:val="baseline"/>
                <w:lang w:val="en-US" w:eastAsia="zh-CN"/>
              </w:rPr>
              <w:t>耳麦接头</w:t>
            </w:r>
          </w:p>
          <w:p>
            <w:pPr>
              <w:keepNext w:val="0"/>
              <w:keepLines w:val="0"/>
              <w:widowControl/>
              <w:suppressLineNumbers w:val="0"/>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1米</w:t>
            </w:r>
            <w:r>
              <w:rPr>
                <w:rFonts w:hint="eastAsia" w:ascii="宋体" w:hAnsi="宋体" w:cs="宋体"/>
                <w:color w:val="auto"/>
                <w:sz w:val="21"/>
                <w:szCs w:val="21"/>
                <w:vertAlign w:val="baseline"/>
                <w:lang w:val="en-US" w:eastAsia="zh-CN"/>
              </w:rPr>
              <w:t>以上</w:t>
            </w:r>
            <w:r>
              <w:rPr>
                <w:rFonts w:hint="eastAsia" w:ascii="宋体" w:hAnsi="宋体" w:eastAsia="宋体" w:cs="宋体"/>
                <w:color w:val="auto"/>
                <w:sz w:val="21"/>
                <w:szCs w:val="21"/>
                <w:vertAlign w:val="baseline"/>
                <w:lang w:val="en-US" w:eastAsia="zh-CN"/>
              </w:rPr>
              <w:t>耳麦长线</w:t>
            </w:r>
          </w:p>
          <w:p>
            <w:pPr>
              <w:keepNext w:val="0"/>
              <w:keepLines w:val="0"/>
              <w:widowControl/>
              <w:suppressLineNumbers w:val="0"/>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使用</w:t>
            </w:r>
            <w:r>
              <w:rPr>
                <w:rFonts w:hint="eastAsia" w:ascii="宋体" w:hAnsi="宋体" w:eastAsia="宋体" w:cs="宋体"/>
                <w:color w:val="auto"/>
                <w:sz w:val="21"/>
                <w:szCs w:val="21"/>
                <w:vertAlign w:val="baseline"/>
                <w:lang w:val="en-US" w:eastAsia="zh-CN"/>
              </w:rPr>
              <w:t xml:space="preserve">Quick-disconnect </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vertAlign w:val="baseline"/>
                <w:lang w:val="en-US" w:eastAsia="zh-CN"/>
              </w:rPr>
              <w:t>QD</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vertAlign w:val="baseline"/>
                <w:lang w:val="en-US" w:eastAsia="zh-CN"/>
              </w:rPr>
              <w:t xml:space="preserve"> 接头</w:t>
            </w:r>
          </w:p>
          <w:p>
            <w:pPr>
              <w:keepNext w:val="0"/>
              <w:keepLines w:val="0"/>
              <w:widowControl/>
              <w:suppressLineNumbers w:val="0"/>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发送敏感度: -42.0 dB re. 1 V/Pa</w:t>
            </w:r>
          </w:p>
          <w:p>
            <w:pPr>
              <w:keepNext w:val="0"/>
              <w:keepLines w:val="0"/>
              <w:widowControl/>
              <w:suppressLineNumbers w:val="0"/>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接收阻抗: 90 Ω</w:t>
            </w:r>
          </w:p>
          <w:p>
            <w:pPr>
              <w:keepNext w:val="0"/>
              <w:keepLines w:val="0"/>
              <w:widowControl/>
              <w:suppressLineNumbers w:val="0"/>
              <w:spacing w:line="360" w:lineRule="auto"/>
              <w:jc w:val="left"/>
              <w:rPr>
                <w:rFonts w:hint="eastAsia" w:ascii="宋体" w:hAnsi="宋体" w:eastAsia="宋体" w:cs="宋体"/>
                <w:color w:val="auto"/>
                <w:sz w:val="21"/>
                <w:szCs w:val="21"/>
                <w:vertAlign w:val="baseline"/>
                <w:lang w:val="en-US" w:eastAsia="zh-CN"/>
              </w:rPr>
            </w:pPr>
          </w:p>
        </w:tc>
      </w:tr>
    </w:tbl>
    <w:p>
      <w:pPr>
        <w:rPr>
          <w:rFonts w:hint="default"/>
          <w:color w:val="auto"/>
          <w:lang w:val="en-US" w:eastAsia="zh-CN"/>
        </w:rPr>
      </w:pPr>
    </w:p>
    <w:p>
      <w:pPr>
        <w:pStyle w:val="4"/>
        <w:numPr>
          <w:ilvl w:val="0"/>
          <w:numId w:val="8"/>
        </w:numPr>
        <w:bidi w:val="0"/>
        <w:jc w:val="left"/>
        <w:rPr>
          <w:rFonts w:hint="eastAsia" w:ascii="宋体" w:hAnsi="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highlight w:val="none"/>
          <w:lang w:val="en-US" w:eastAsia="zh-CN" w:bidi="ar-SA"/>
        </w:rPr>
        <w:t>其它</w:t>
      </w:r>
      <w:r>
        <w:rPr>
          <w:rFonts w:hint="eastAsia" w:ascii="宋体" w:hAnsi="宋体" w:cs="Times New Roman"/>
          <w:b w:val="0"/>
          <w:bCs w:val="0"/>
          <w:color w:val="auto"/>
          <w:kern w:val="2"/>
          <w:sz w:val="24"/>
          <w:szCs w:val="24"/>
          <w:lang w:val="en-US" w:eastAsia="zh-CN" w:bidi="ar-SA"/>
        </w:rPr>
        <w:t>需求</w:t>
      </w:r>
    </w:p>
    <w:p>
      <w:pPr>
        <w:pStyle w:val="4"/>
        <w:numPr>
          <w:ilvl w:val="-1"/>
          <w:numId w:val="0"/>
        </w:numPr>
        <w:bidi w:val="0"/>
        <w:jc w:val="left"/>
        <w:rPr>
          <w:rFonts w:hint="default" w:ascii="宋体" w:hAnsi="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具备完整的接口，与我的扬州</w:t>
      </w:r>
      <w:r>
        <w:rPr>
          <w:rFonts w:hint="eastAsia" w:ascii="宋体" w:hAnsi="宋体" w:cs="Times New Roman"/>
          <w:b w:val="0"/>
          <w:bCs w:val="0"/>
          <w:color w:val="auto"/>
          <w:kern w:val="2"/>
          <w:sz w:val="24"/>
          <w:szCs w:val="24"/>
          <w:highlight w:val="none"/>
          <w:lang w:val="en-US" w:eastAsia="zh-CN" w:bidi="ar-SA"/>
        </w:rPr>
        <w:t>APP</w:t>
      </w:r>
      <w:r>
        <w:rPr>
          <w:rFonts w:hint="eastAsia" w:ascii="宋体" w:hAnsi="宋体" w:cs="Times New Roman"/>
          <w:b w:val="0"/>
          <w:bCs w:val="0"/>
          <w:color w:val="auto"/>
          <w:kern w:val="2"/>
          <w:sz w:val="24"/>
          <w:szCs w:val="24"/>
          <w:lang w:val="en-US" w:eastAsia="zh-CN" w:bidi="ar-SA"/>
        </w:rPr>
        <w:t>线上客服系统对接；</w:t>
      </w:r>
    </w:p>
    <w:p>
      <w:pPr>
        <w:pStyle w:val="3"/>
        <w:rPr>
          <w:rFonts w:hint="eastAsia" w:ascii="宋体" w:hAnsi="宋体" w:cs="宋体"/>
          <w:color w:val="auto"/>
          <w:sz w:val="30"/>
          <w:szCs w:val="30"/>
          <w:lang w:val="en-US" w:eastAsia="zh-CN"/>
        </w:rPr>
      </w:pPr>
      <w:r>
        <w:rPr>
          <w:rFonts w:hint="eastAsia" w:ascii="宋体" w:hAnsi="宋体" w:cs="宋体"/>
          <w:color w:val="auto"/>
          <w:sz w:val="30"/>
          <w:szCs w:val="30"/>
          <w:lang w:val="en-US" w:eastAsia="zh-CN"/>
        </w:rPr>
        <w:t>四、扩展需求</w:t>
      </w:r>
    </w:p>
    <w:p>
      <w:pPr>
        <w:bidi w:val="0"/>
        <w:spacing w:line="360" w:lineRule="auto"/>
        <w:rPr>
          <w:rFonts w:hint="default"/>
          <w:color w:val="auto"/>
          <w:sz w:val="24"/>
          <w:szCs w:val="24"/>
          <w:lang w:val="en-US" w:eastAsia="zh-CN"/>
        </w:rPr>
      </w:pPr>
      <w:r>
        <w:rPr>
          <w:rFonts w:hint="eastAsia" w:ascii="宋体" w:hAnsi="宋体" w:cs="宋体"/>
          <w:bCs/>
          <w:color w:val="auto"/>
        </w:rPr>
        <w:t>★</w:t>
      </w:r>
      <w:r>
        <w:rPr>
          <w:rFonts w:hint="eastAsia"/>
          <w:color w:val="auto"/>
          <w:sz w:val="24"/>
          <w:szCs w:val="24"/>
          <w:lang w:val="en-US" w:eastAsia="zh-CN"/>
        </w:rPr>
        <w:t>系统需具有良好的扩展性和丰富的对接能力，为后期的业务升级提供技术条件，以实现</w:t>
      </w:r>
      <w:r>
        <w:rPr>
          <w:rFonts w:hint="eastAsia"/>
          <w:color w:val="auto"/>
          <w:sz w:val="24"/>
          <w:szCs w:val="24"/>
          <w:highlight w:val="none"/>
          <w:lang w:val="en-US" w:eastAsia="zh-CN"/>
        </w:rPr>
        <w:t>与其它</w:t>
      </w:r>
      <w:r>
        <w:rPr>
          <w:rFonts w:hint="eastAsia"/>
          <w:color w:val="auto"/>
          <w:sz w:val="24"/>
          <w:szCs w:val="24"/>
          <w:lang w:val="en-US" w:eastAsia="zh-CN"/>
        </w:rPr>
        <w:t>系统的数据对接：实际系统需</w:t>
      </w:r>
      <w:r>
        <w:rPr>
          <w:rFonts w:hint="default"/>
          <w:color w:val="auto"/>
          <w:sz w:val="24"/>
          <w:szCs w:val="24"/>
          <w:lang w:val="en-US" w:eastAsia="zh-CN"/>
        </w:rPr>
        <w:t>支持</w:t>
      </w:r>
      <w:r>
        <w:rPr>
          <w:rFonts w:hint="eastAsia"/>
          <w:color w:val="auto"/>
          <w:sz w:val="24"/>
          <w:szCs w:val="24"/>
          <w:lang w:val="en-US" w:eastAsia="zh-CN"/>
        </w:rPr>
        <w:t>所有</w:t>
      </w:r>
      <w:r>
        <w:rPr>
          <w:rFonts w:hint="default"/>
          <w:color w:val="auto"/>
          <w:sz w:val="24"/>
          <w:szCs w:val="24"/>
          <w:lang w:val="en-US" w:eastAsia="zh-CN"/>
        </w:rPr>
        <w:t>功能的接口对接</w:t>
      </w:r>
      <w:r>
        <w:rPr>
          <w:rFonts w:hint="eastAsia"/>
          <w:color w:val="auto"/>
          <w:sz w:val="24"/>
          <w:szCs w:val="24"/>
          <w:lang w:val="en-US" w:eastAsia="zh-CN"/>
        </w:rPr>
        <w:t>，提供接口文档（包括但不限于以下接口）</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422"/>
        <w:gridCol w:w="6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shd w:val="clear" w:color="auto" w:fill="B8CCE4"/>
            <w:noWrap w:val="0"/>
            <w:vAlign w:val="center"/>
          </w:tcPr>
          <w:p>
            <w:pPr>
              <w:numPr>
                <w:ilvl w:val="0"/>
                <w:numId w:val="0"/>
              </w:numPr>
              <w:bidi w:val="0"/>
              <w:spacing w:line="360" w:lineRule="auto"/>
              <w:jc w:val="center"/>
              <w:rPr>
                <w:rFonts w:hint="default"/>
                <w:b/>
                <w:bCs/>
                <w:color w:val="auto"/>
                <w:sz w:val="24"/>
                <w:szCs w:val="24"/>
                <w:vertAlign w:val="baseline"/>
                <w:lang w:val="en-US" w:eastAsia="zh-CN"/>
              </w:rPr>
            </w:pPr>
            <w:r>
              <w:rPr>
                <w:rFonts w:hint="eastAsia"/>
                <w:b/>
                <w:bCs/>
                <w:color w:val="auto"/>
                <w:sz w:val="24"/>
                <w:szCs w:val="24"/>
                <w:vertAlign w:val="baseline"/>
                <w:lang w:val="en-US" w:eastAsia="zh-CN"/>
              </w:rPr>
              <w:t>序号</w:t>
            </w:r>
          </w:p>
        </w:tc>
        <w:tc>
          <w:tcPr>
            <w:tcW w:w="1422" w:type="dxa"/>
            <w:shd w:val="clear" w:color="auto" w:fill="B8CCE4"/>
            <w:noWrap w:val="0"/>
            <w:vAlign w:val="center"/>
          </w:tcPr>
          <w:p>
            <w:pPr>
              <w:numPr>
                <w:ilvl w:val="0"/>
                <w:numId w:val="0"/>
              </w:numPr>
              <w:bidi w:val="0"/>
              <w:spacing w:line="360" w:lineRule="auto"/>
              <w:jc w:val="center"/>
              <w:rPr>
                <w:rFonts w:hint="default"/>
                <w:b/>
                <w:bCs/>
                <w:color w:val="auto"/>
                <w:sz w:val="24"/>
                <w:szCs w:val="24"/>
                <w:vertAlign w:val="baseline"/>
                <w:lang w:val="en-US" w:eastAsia="zh-CN"/>
              </w:rPr>
            </w:pPr>
            <w:r>
              <w:rPr>
                <w:rFonts w:hint="eastAsia"/>
                <w:b/>
                <w:bCs/>
                <w:color w:val="auto"/>
                <w:sz w:val="24"/>
                <w:szCs w:val="24"/>
                <w:vertAlign w:val="baseline"/>
                <w:lang w:val="en-US" w:eastAsia="zh-CN"/>
              </w:rPr>
              <w:t>类型</w:t>
            </w:r>
          </w:p>
        </w:tc>
        <w:tc>
          <w:tcPr>
            <w:tcW w:w="6241" w:type="dxa"/>
            <w:shd w:val="clear" w:color="auto" w:fill="B8CCE4"/>
            <w:noWrap w:val="0"/>
            <w:vAlign w:val="center"/>
          </w:tcPr>
          <w:p>
            <w:pPr>
              <w:numPr>
                <w:ilvl w:val="0"/>
                <w:numId w:val="0"/>
              </w:numPr>
              <w:bidi w:val="0"/>
              <w:spacing w:line="360" w:lineRule="auto"/>
              <w:jc w:val="center"/>
              <w:rPr>
                <w:rFonts w:hint="default"/>
                <w:b/>
                <w:bCs/>
                <w:color w:val="auto"/>
                <w:sz w:val="24"/>
                <w:szCs w:val="24"/>
                <w:vertAlign w:val="baseline"/>
                <w:lang w:val="en-US" w:eastAsia="zh-CN"/>
              </w:rPr>
            </w:pPr>
            <w:r>
              <w:rPr>
                <w:rFonts w:hint="eastAsia"/>
                <w:b/>
                <w:bCs/>
                <w:color w:val="auto"/>
                <w:sz w:val="24"/>
                <w:szCs w:val="24"/>
                <w:vertAlign w:val="baseline"/>
                <w:lang w:val="en-US" w:eastAsia="zh-CN"/>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top"/>
          </w:tcPr>
          <w:p>
            <w:pPr>
              <w:numPr>
                <w:ilvl w:val="0"/>
                <w:numId w:val="0"/>
              </w:numPr>
              <w:bidi w:val="0"/>
              <w:spacing w:line="360" w:lineRule="auto"/>
              <w:jc w:val="center"/>
              <w:rPr>
                <w:rFonts w:hint="default"/>
                <w:color w:val="auto"/>
                <w:sz w:val="21"/>
                <w:szCs w:val="21"/>
                <w:vertAlign w:val="baseline"/>
                <w:lang w:val="en-US" w:eastAsia="zh-CN"/>
              </w:rPr>
            </w:pPr>
            <w:r>
              <w:rPr>
                <w:rFonts w:hint="eastAsia"/>
                <w:color w:val="auto"/>
                <w:sz w:val="21"/>
                <w:szCs w:val="21"/>
                <w:vertAlign w:val="baseline"/>
                <w:lang w:val="en-US" w:eastAsia="zh-CN"/>
              </w:rPr>
              <w:t>1</w:t>
            </w:r>
          </w:p>
        </w:tc>
        <w:tc>
          <w:tcPr>
            <w:tcW w:w="1422" w:type="dxa"/>
            <w:noWrap w:val="0"/>
            <w:vAlign w:val="top"/>
          </w:tcPr>
          <w:p>
            <w:pPr>
              <w:numPr>
                <w:ilvl w:val="0"/>
                <w:numId w:val="0"/>
              </w:numPr>
              <w:bidi w:val="0"/>
              <w:spacing w:line="360" w:lineRule="auto"/>
              <w:jc w:val="center"/>
              <w:rPr>
                <w:rFonts w:hint="default"/>
                <w:color w:val="auto"/>
                <w:sz w:val="21"/>
                <w:szCs w:val="21"/>
                <w:vertAlign w:val="baseline"/>
                <w:lang w:val="en-US" w:eastAsia="zh-CN"/>
              </w:rPr>
            </w:pPr>
            <w:r>
              <w:rPr>
                <w:rFonts w:hint="default"/>
                <w:color w:val="auto"/>
                <w:sz w:val="21"/>
                <w:szCs w:val="21"/>
                <w:vertAlign w:val="baseline"/>
                <w:lang w:val="en-US" w:eastAsia="zh-CN"/>
              </w:rPr>
              <w:t>基础</w:t>
            </w:r>
          </w:p>
          <w:p>
            <w:pPr>
              <w:numPr>
                <w:ilvl w:val="0"/>
                <w:numId w:val="0"/>
              </w:numPr>
              <w:bidi w:val="0"/>
              <w:spacing w:line="360" w:lineRule="auto"/>
              <w:jc w:val="center"/>
              <w:rPr>
                <w:rFonts w:hint="default"/>
                <w:color w:val="auto"/>
                <w:sz w:val="21"/>
                <w:szCs w:val="21"/>
                <w:vertAlign w:val="baseline"/>
                <w:lang w:val="en-US" w:eastAsia="zh-CN"/>
              </w:rPr>
            </w:pPr>
          </w:p>
        </w:tc>
        <w:tc>
          <w:tcPr>
            <w:tcW w:w="6241" w:type="dxa"/>
            <w:noWrap w:val="0"/>
            <w:vAlign w:val="top"/>
          </w:tcPr>
          <w:p>
            <w:pPr>
              <w:numPr>
                <w:ilvl w:val="0"/>
                <w:numId w:val="0"/>
              </w:numPr>
              <w:bidi w:val="0"/>
              <w:spacing w:line="360" w:lineRule="auto"/>
              <w:rPr>
                <w:rFonts w:hint="default"/>
                <w:color w:val="auto"/>
                <w:sz w:val="21"/>
                <w:szCs w:val="21"/>
                <w:vertAlign w:val="baseline"/>
                <w:lang w:val="en-US" w:eastAsia="zh-CN"/>
              </w:rPr>
            </w:pPr>
            <w:r>
              <w:rPr>
                <w:rFonts w:hint="default"/>
                <w:color w:val="auto"/>
                <w:sz w:val="21"/>
                <w:szCs w:val="21"/>
                <w:vertAlign w:val="baseline"/>
                <w:lang w:val="en-US" w:eastAsia="zh-CN"/>
              </w:rPr>
              <w:t>坐席签入、坐席签出、坐席置闲、坐席置忙、坐席外呼、坐席状态、电话保持、电话恢复、电话挂机、电话重置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top"/>
          </w:tcPr>
          <w:p>
            <w:pPr>
              <w:numPr>
                <w:ilvl w:val="0"/>
                <w:numId w:val="0"/>
              </w:numPr>
              <w:bidi w:val="0"/>
              <w:spacing w:line="360" w:lineRule="auto"/>
              <w:jc w:val="center"/>
              <w:rPr>
                <w:rFonts w:hint="default"/>
                <w:color w:val="auto"/>
                <w:sz w:val="21"/>
                <w:szCs w:val="21"/>
                <w:vertAlign w:val="baseline"/>
                <w:lang w:val="en-US" w:eastAsia="zh-CN"/>
              </w:rPr>
            </w:pPr>
            <w:r>
              <w:rPr>
                <w:rFonts w:hint="eastAsia"/>
                <w:color w:val="auto"/>
                <w:sz w:val="21"/>
                <w:szCs w:val="21"/>
                <w:vertAlign w:val="baseline"/>
                <w:lang w:val="en-US" w:eastAsia="zh-CN"/>
              </w:rPr>
              <w:t>2</w:t>
            </w:r>
          </w:p>
        </w:tc>
        <w:tc>
          <w:tcPr>
            <w:tcW w:w="1422" w:type="dxa"/>
            <w:noWrap w:val="0"/>
            <w:vAlign w:val="top"/>
          </w:tcPr>
          <w:p>
            <w:pPr>
              <w:numPr>
                <w:ilvl w:val="0"/>
                <w:numId w:val="0"/>
              </w:numPr>
              <w:bidi w:val="0"/>
              <w:spacing w:line="360" w:lineRule="auto"/>
              <w:jc w:val="center"/>
              <w:rPr>
                <w:rFonts w:hint="default"/>
                <w:color w:val="auto"/>
                <w:sz w:val="21"/>
                <w:szCs w:val="21"/>
                <w:vertAlign w:val="baseline"/>
                <w:lang w:val="en-US" w:eastAsia="zh-CN"/>
              </w:rPr>
            </w:pPr>
            <w:r>
              <w:rPr>
                <w:rFonts w:hint="default"/>
                <w:color w:val="auto"/>
                <w:sz w:val="21"/>
                <w:szCs w:val="21"/>
                <w:vertAlign w:val="baseline"/>
                <w:lang w:val="en-US" w:eastAsia="zh-CN"/>
              </w:rPr>
              <w:t>高级</w:t>
            </w:r>
          </w:p>
        </w:tc>
        <w:tc>
          <w:tcPr>
            <w:tcW w:w="6241" w:type="dxa"/>
            <w:noWrap w:val="0"/>
            <w:vAlign w:val="top"/>
          </w:tcPr>
          <w:p>
            <w:pPr>
              <w:numPr>
                <w:ilvl w:val="0"/>
                <w:numId w:val="0"/>
              </w:numPr>
              <w:bidi w:val="0"/>
              <w:spacing w:line="360" w:lineRule="auto"/>
              <w:rPr>
                <w:rFonts w:hint="default"/>
                <w:color w:val="auto"/>
                <w:sz w:val="21"/>
                <w:szCs w:val="21"/>
                <w:vertAlign w:val="baseline"/>
                <w:lang w:val="en-US" w:eastAsia="zh-CN"/>
              </w:rPr>
            </w:pPr>
            <w:r>
              <w:rPr>
                <w:rFonts w:hint="default"/>
                <w:color w:val="auto"/>
                <w:sz w:val="21"/>
                <w:szCs w:val="21"/>
                <w:vertAlign w:val="baseline"/>
                <w:lang w:val="en-US" w:eastAsia="zh-CN"/>
              </w:rPr>
              <w:t>电话转移、撤回转移、三方通话、多方会议、多方成员、停止参与、恢复参与、客户评价、转移队列、分机监控、外线监控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top"/>
          </w:tcPr>
          <w:p>
            <w:pPr>
              <w:numPr>
                <w:ilvl w:val="0"/>
                <w:numId w:val="0"/>
              </w:numPr>
              <w:bidi w:val="0"/>
              <w:spacing w:line="360" w:lineRule="auto"/>
              <w:jc w:val="center"/>
              <w:rPr>
                <w:rFonts w:hint="default"/>
                <w:color w:val="auto"/>
                <w:sz w:val="21"/>
                <w:szCs w:val="21"/>
                <w:vertAlign w:val="baseline"/>
                <w:lang w:val="en-US" w:eastAsia="zh-CN"/>
              </w:rPr>
            </w:pPr>
            <w:r>
              <w:rPr>
                <w:rFonts w:hint="eastAsia"/>
                <w:color w:val="auto"/>
                <w:sz w:val="21"/>
                <w:szCs w:val="21"/>
                <w:vertAlign w:val="baseline"/>
                <w:lang w:val="en-US" w:eastAsia="zh-CN"/>
              </w:rPr>
              <w:t>3</w:t>
            </w:r>
          </w:p>
        </w:tc>
        <w:tc>
          <w:tcPr>
            <w:tcW w:w="1422" w:type="dxa"/>
            <w:noWrap w:val="0"/>
            <w:vAlign w:val="top"/>
          </w:tcPr>
          <w:p>
            <w:pPr>
              <w:numPr>
                <w:ilvl w:val="0"/>
                <w:numId w:val="0"/>
              </w:numPr>
              <w:bidi w:val="0"/>
              <w:spacing w:line="360" w:lineRule="auto"/>
              <w:jc w:val="center"/>
              <w:rPr>
                <w:rFonts w:hint="default"/>
                <w:color w:val="auto"/>
                <w:sz w:val="21"/>
                <w:szCs w:val="21"/>
                <w:vertAlign w:val="baseline"/>
                <w:lang w:val="en-US" w:eastAsia="zh-CN"/>
              </w:rPr>
            </w:pPr>
            <w:r>
              <w:rPr>
                <w:rFonts w:hint="default"/>
                <w:color w:val="auto"/>
                <w:sz w:val="21"/>
                <w:szCs w:val="21"/>
                <w:vertAlign w:val="baseline"/>
                <w:lang w:val="en-US" w:eastAsia="zh-CN"/>
              </w:rPr>
              <w:t>队列</w:t>
            </w:r>
          </w:p>
        </w:tc>
        <w:tc>
          <w:tcPr>
            <w:tcW w:w="6241" w:type="dxa"/>
            <w:noWrap w:val="0"/>
            <w:vAlign w:val="top"/>
          </w:tcPr>
          <w:p>
            <w:pPr>
              <w:numPr>
                <w:ilvl w:val="0"/>
                <w:numId w:val="0"/>
              </w:numPr>
              <w:bidi w:val="0"/>
              <w:spacing w:line="360" w:lineRule="auto"/>
              <w:rPr>
                <w:rFonts w:hint="default"/>
                <w:color w:val="auto"/>
                <w:sz w:val="21"/>
                <w:szCs w:val="21"/>
                <w:vertAlign w:val="baseline"/>
                <w:lang w:val="en-US" w:eastAsia="zh-CN"/>
              </w:rPr>
            </w:pPr>
            <w:r>
              <w:rPr>
                <w:rFonts w:hint="default"/>
                <w:color w:val="auto"/>
                <w:sz w:val="21"/>
                <w:szCs w:val="21"/>
                <w:vertAlign w:val="baseline"/>
                <w:lang w:val="en-US" w:eastAsia="zh-CN"/>
              </w:rPr>
              <w:t>所有、我的、成员、排班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top"/>
          </w:tcPr>
          <w:p>
            <w:pPr>
              <w:numPr>
                <w:ilvl w:val="0"/>
                <w:numId w:val="0"/>
              </w:numPr>
              <w:bidi w:val="0"/>
              <w:spacing w:line="360" w:lineRule="auto"/>
              <w:jc w:val="center"/>
              <w:rPr>
                <w:rFonts w:hint="default"/>
                <w:color w:val="auto"/>
                <w:sz w:val="21"/>
                <w:szCs w:val="21"/>
                <w:vertAlign w:val="baseline"/>
                <w:lang w:val="en-US" w:eastAsia="zh-CN"/>
              </w:rPr>
            </w:pPr>
            <w:r>
              <w:rPr>
                <w:rFonts w:hint="eastAsia"/>
                <w:color w:val="auto"/>
                <w:sz w:val="21"/>
                <w:szCs w:val="21"/>
                <w:vertAlign w:val="baseline"/>
                <w:lang w:val="en-US" w:eastAsia="zh-CN"/>
              </w:rPr>
              <w:t>4</w:t>
            </w:r>
          </w:p>
        </w:tc>
        <w:tc>
          <w:tcPr>
            <w:tcW w:w="1422" w:type="dxa"/>
            <w:noWrap w:val="0"/>
            <w:vAlign w:val="top"/>
          </w:tcPr>
          <w:p>
            <w:pPr>
              <w:numPr>
                <w:ilvl w:val="0"/>
                <w:numId w:val="0"/>
              </w:numPr>
              <w:bidi w:val="0"/>
              <w:spacing w:line="360" w:lineRule="auto"/>
              <w:jc w:val="center"/>
              <w:rPr>
                <w:rFonts w:hint="default"/>
                <w:color w:val="auto"/>
                <w:sz w:val="21"/>
                <w:szCs w:val="21"/>
                <w:vertAlign w:val="baseline"/>
                <w:lang w:val="en-US" w:eastAsia="zh-CN"/>
              </w:rPr>
            </w:pPr>
            <w:r>
              <w:rPr>
                <w:rFonts w:hint="default"/>
                <w:color w:val="auto"/>
                <w:sz w:val="21"/>
                <w:szCs w:val="21"/>
                <w:vertAlign w:val="baseline"/>
                <w:lang w:val="en-US" w:eastAsia="zh-CN"/>
              </w:rPr>
              <w:t>黑名单</w:t>
            </w:r>
          </w:p>
        </w:tc>
        <w:tc>
          <w:tcPr>
            <w:tcW w:w="6241" w:type="dxa"/>
            <w:noWrap w:val="0"/>
            <w:vAlign w:val="top"/>
          </w:tcPr>
          <w:p>
            <w:pPr>
              <w:numPr>
                <w:ilvl w:val="0"/>
                <w:numId w:val="0"/>
              </w:numPr>
              <w:bidi w:val="0"/>
              <w:spacing w:line="360" w:lineRule="auto"/>
              <w:rPr>
                <w:rFonts w:hint="default"/>
                <w:color w:val="auto"/>
                <w:sz w:val="21"/>
                <w:szCs w:val="21"/>
                <w:vertAlign w:val="baseline"/>
                <w:lang w:val="en-US" w:eastAsia="zh-CN"/>
              </w:rPr>
            </w:pPr>
            <w:r>
              <w:rPr>
                <w:rFonts w:hint="default"/>
                <w:color w:val="auto"/>
                <w:sz w:val="21"/>
                <w:szCs w:val="21"/>
                <w:vertAlign w:val="baseline"/>
                <w:lang w:val="en-US" w:eastAsia="zh-CN"/>
              </w:rPr>
              <w:t>所有、添加、删除、查询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top"/>
          </w:tcPr>
          <w:p>
            <w:pPr>
              <w:numPr>
                <w:ilvl w:val="0"/>
                <w:numId w:val="0"/>
              </w:numPr>
              <w:bidi w:val="0"/>
              <w:spacing w:line="360" w:lineRule="auto"/>
              <w:jc w:val="center"/>
              <w:rPr>
                <w:rFonts w:hint="default"/>
                <w:color w:val="auto"/>
                <w:sz w:val="21"/>
                <w:szCs w:val="21"/>
                <w:vertAlign w:val="baseline"/>
                <w:lang w:val="en-US" w:eastAsia="zh-CN"/>
              </w:rPr>
            </w:pPr>
            <w:r>
              <w:rPr>
                <w:rFonts w:hint="eastAsia"/>
                <w:color w:val="auto"/>
                <w:sz w:val="21"/>
                <w:szCs w:val="21"/>
                <w:vertAlign w:val="baseline"/>
                <w:lang w:val="en-US" w:eastAsia="zh-CN"/>
              </w:rPr>
              <w:t>5</w:t>
            </w:r>
          </w:p>
        </w:tc>
        <w:tc>
          <w:tcPr>
            <w:tcW w:w="1422" w:type="dxa"/>
            <w:noWrap w:val="0"/>
            <w:vAlign w:val="top"/>
          </w:tcPr>
          <w:p>
            <w:pPr>
              <w:numPr>
                <w:ilvl w:val="0"/>
                <w:numId w:val="0"/>
              </w:numPr>
              <w:bidi w:val="0"/>
              <w:spacing w:line="360" w:lineRule="auto"/>
              <w:jc w:val="center"/>
              <w:rPr>
                <w:rFonts w:hint="default"/>
                <w:color w:val="auto"/>
                <w:sz w:val="21"/>
                <w:szCs w:val="21"/>
                <w:vertAlign w:val="baseline"/>
                <w:lang w:val="en-US" w:eastAsia="zh-CN"/>
              </w:rPr>
            </w:pPr>
            <w:r>
              <w:rPr>
                <w:rFonts w:hint="default"/>
                <w:color w:val="auto"/>
                <w:sz w:val="21"/>
                <w:szCs w:val="21"/>
                <w:vertAlign w:val="baseline"/>
                <w:lang w:val="en-US" w:eastAsia="zh-CN"/>
              </w:rPr>
              <w:t>录音记录表</w:t>
            </w:r>
          </w:p>
        </w:tc>
        <w:tc>
          <w:tcPr>
            <w:tcW w:w="6241" w:type="dxa"/>
            <w:noWrap w:val="0"/>
            <w:vAlign w:val="top"/>
          </w:tcPr>
          <w:p>
            <w:pPr>
              <w:numPr>
                <w:ilvl w:val="0"/>
                <w:numId w:val="0"/>
              </w:numPr>
              <w:bidi w:val="0"/>
              <w:spacing w:line="360" w:lineRule="auto"/>
              <w:rPr>
                <w:rFonts w:hint="default"/>
                <w:color w:val="auto"/>
                <w:sz w:val="21"/>
                <w:szCs w:val="21"/>
                <w:vertAlign w:val="baseline"/>
                <w:lang w:val="en-US" w:eastAsia="zh-CN"/>
              </w:rPr>
            </w:pPr>
            <w:r>
              <w:rPr>
                <w:rFonts w:hint="eastAsia"/>
                <w:color w:val="auto"/>
                <w:sz w:val="21"/>
                <w:szCs w:val="21"/>
                <w:vertAlign w:val="baseline"/>
                <w:lang w:val="en-US" w:eastAsia="zh-CN"/>
              </w:rPr>
              <w:t>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top"/>
          </w:tcPr>
          <w:p>
            <w:pPr>
              <w:numPr>
                <w:ilvl w:val="0"/>
                <w:numId w:val="0"/>
              </w:numPr>
              <w:bidi w:val="0"/>
              <w:spacing w:line="360" w:lineRule="auto"/>
              <w:jc w:val="center"/>
              <w:rPr>
                <w:rFonts w:hint="default"/>
                <w:color w:val="auto"/>
                <w:sz w:val="21"/>
                <w:szCs w:val="21"/>
                <w:vertAlign w:val="baseline"/>
                <w:lang w:val="en-US" w:eastAsia="zh-CN"/>
              </w:rPr>
            </w:pPr>
            <w:r>
              <w:rPr>
                <w:rFonts w:hint="eastAsia"/>
                <w:color w:val="auto"/>
                <w:sz w:val="21"/>
                <w:szCs w:val="21"/>
                <w:vertAlign w:val="baseline"/>
                <w:lang w:val="en-US" w:eastAsia="zh-CN"/>
              </w:rPr>
              <w:t>6</w:t>
            </w:r>
          </w:p>
        </w:tc>
        <w:tc>
          <w:tcPr>
            <w:tcW w:w="1422" w:type="dxa"/>
            <w:noWrap w:val="0"/>
            <w:vAlign w:val="top"/>
          </w:tcPr>
          <w:p>
            <w:pPr>
              <w:numPr>
                <w:ilvl w:val="0"/>
                <w:numId w:val="0"/>
              </w:numPr>
              <w:bidi w:val="0"/>
              <w:spacing w:line="360" w:lineRule="auto"/>
              <w:jc w:val="center"/>
              <w:rPr>
                <w:rFonts w:hint="default"/>
                <w:color w:val="auto"/>
                <w:sz w:val="21"/>
                <w:szCs w:val="21"/>
                <w:vertAlign w:val="baseline"/>
                <w:lang w:val="en-US" w:eastAsia="zh-CN"/>
              </w:rPr>
            </w:pPr>
            <w:r>
              <w:rPr>
                <w:rFonts w:hint="default"/>
                <w:color w:val="auto"/>
                <w:sz w:val="21"/>
                <w:szCs w:val="21"/>
                <w:vertAlign w:val="baseline"/>
                <w:lang w:val="en-US" w:eastAsia="zh-CN"/>
              </w:rPr>
              <w:t>统计报表</w:t>
            </w:r>
          </w:p>
        </w:tc>
        <w:tc>
          <w:tcPr>
            <w:tcW w:w="6241" w:type="dxa"/>
            <w:noWrap w:val="0"/>
            <w:vAlign w:val="top"/>
          </w:tcPr>
          <w:p>
            <w:pPr>
              <w:numPr>
                <w:ilvl w:val="0"/>
                <w:numId w:val="0"/>
              </w:numPr>
              <w:bidi w:val="0"/>
              <w:spacing w:line="360" w:lineRule="auto"/>
              <w:rPr>
                <w:rFonts w:hint="default"/>
                <w:color w:val="auto"/>
                <w:sz w:val="21"/>
                <w:szCs w:val="21"/>
                <w:vertAlign w:val="baseline"/>
                <w:lang w:val="en-US" w:eastAsia="zh-CN"/>
              </w:rPr>
            </w:pPr>
            <w:r>
              <w:rPr>
                <w:rFonts w:hint="default"/>
                <w:color w:val="auto"/>
                <w:sz w:val="21"/>
                <w:szCs w:val="21"/>
                <w:vertAlign w:val="baseline"/>
                <w:lang w:val="en-US" w:eastAsia="zh-CN"/>
              </w:rPr>
              <w:t>坐席、分机、小时、热线、综合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top"/>
          </w:tcPr>
          <w:p>
            <w:pPr>
              <w:numPr>
                <w:ilvl w:val="0"/>
                <w:numId w:val="0"/>
              </w:numPr>
              <w:bidi w:val="0"/>
              <w:spacing w:line="360" w:lineRule="auto"/>
              <w:jc w:val="center"/>
              <w:rPr>
                <w:rFonts w:hint="default"/>
                <w:color w:val="auto"/>
                <w:sz w:val="21"/>
                <w:szCs w:val="21"/>
                <w:vertAlign w:val="baseline"/>
                <w:lang w:val="en-US" w:eastAsia="zh-CN"/>
              </w:rPr>
            </w:pPr>
            <w:r>
              <w:rPr>
                <w:rFonts w:hint="eastAsia"/>
                <w:color w:val="auto"/>
                <w:sz w:val="21"/>
                <w:szCs w:val="21"/>
                <w:vertAlign w:val="baseline"/>
                <w:lang w:val="en-US" w:eastAsia="zh-CN"/>
              </w:rPr>
              <w:t>7</w:t>
            </w:r>
          </w:p>
        </w:tc>
        <w:tc>
          <w:tcPr>
            <w:tcW w:w="1422" w:type="dxa"/>
            <w:noWrap w:val="0"/>
            <w:vAlign w:val="top"/>
          </w:tcPr>
          <w:p>
            <w:pPr>
              <w:numPr>
                <w:ilvl w:val="0"/>
                <w:numId w:val="0"/>
              </w:numPr>
              <w:bidi w:val="0"/>
              <w:spacing w:line="360" w:lineRule="auto"/>
              <w:jc w:val="center"/>
              <w:rPr>
                <w:rFonts w:hint="default"/>
                <w:color w:val="auto"/>
                <w:sz w:val="21"/>
                <w:szCs w:val="21"/>
                <w:vertAlign w:val="baseline"/>
                <w:lang w:val="en-US" w:eastAsia="zh-CN"/>
              </w:rPr>
            </w:pPr>
            <w:r>
              <w:rPr>
                <w:rFonts w:hint="default"/>
                <w:color w:val="auto"/>
                <w:sz w:val="21"/>
                <w:szCs w:val="21"/>
                <w:vertAlign w:val="baseline"/>
                <w:lang w:val="en-US" w:eastAsia="zh-CN"/>
              </w:rPr>
              <w:t>消息推送</w:t>
            </w:r>
          </w:p>
        </w:tc>
        <w:tc>
          <w:tcPr>
            <w:tcW w:w="6241" w:type="dxa"/>
            <w:noWrap w:val="0"/>
            <w:vAlign w:val="top"/>
          </w:tcPr>
          <w:p>
            <w:pPr>
              <w:numPr>
                <w:ilvl w:val="0"/>
                <w:numId w:val="0"/>
              </w:numPr>
              <w:bidi w:val="0"/>
              <w:spacing w:line="360" w:lineRule="auto"/>
              <w:rPr>
                <w:rFonts w:hint="default"/>
                <w:color w:val="auto"/>
                <w:sz w:val="21"/>
                <w:szCs w:val="21"/>
                <w:vertAlign w:val="baseline"/>
                <w:lang w:val="en-US" w:eastAsia="zh-CN"/>
              </w:rPr>
            </w:pPr>
            <w:r>
              <w:rPr>
                <w:rFonts w:hint="default"/>
                <w:color w:val="auto"/>
                <w:sz w:val="21"/>
                <w:szCs w:val="21"/>
                <w:vertAlign w:val="baseline"/>
                <w:lang w:val="en-US" w:eastAsia="zh-CN"/>
              </w:rPr>
              <w:t>状态推送、话单推送</w:t>
            </w:r>
          </w:p>
        </w:tc>
      </w:tr>
    </w:tbl>
    <w:p>
      <w:pPr>
        <w:pStyle w:val="3"/>
        <w:rPr>
          <w:rFonts w:hint="eastAsia" w:ascii="宋体" w:hAnsi="宋体" w:cs="宋体"/>
          <w:color w:val="auto"/>
          <w:sz w:val="30"/>
          <w:szCs w:val="30"/>
          <w:lang w:val="en-US" w:eastAsia="zh-CN"/>
        </w:rPr>
      </w:pPr>
      <w:r>
        <w:rPr>
          <w:rFonts w:hint="eastAsia" w:ascii="宋体" w:hAnsi="宋体" w:cs="宋体"/>
          <w:color w:val="auto"/>
          <w:sz w:val="30"/>
          <w:szCs w:val="30"/>
          <w:lang w:val="en-US" w:eastAsia="zh-CN"/>
        </w:rPr>
        <w:t>五、实施需求</w:t>
      </w:r>
    </w:p>
    <w:p>
      <w:pPr>
        <w:bidi w:val="0"/>
        <w:spacing w:line="360" w:lineRule="auto"/>
        <w:rPr>
          <w:rFonts w:hint="eastAsia"/>
          <w:color w:val="auto"/>
          <w:sz w:val="24"/>
          <w:szCs w:val="24"/>
          <w:lang w:val="en-US" w:eastAsia="zh-CN"/>
        </w:rPr>
      </w:pPr>
      <w:r>
        <w:rPr>
          <w:rFonts w:hint="eastAsia" w:ascii="宋体" w:hAnsi="宋体" w:cs="宋体"/>
          <w:bCs/>
          <w:color w:val="auto"/>
        </w:rPr>
        <w:t>★</w:t>
      </w:r>
      <w:r>
        <w:rPr>
          <w:rFonts w:hint="eastAsia"/>
          <w:color w:val="auto"/>
          <w:sz w:val="24"/>
          <w:szCs w:val="24"/>
          <w:lang w:val="en-US" w:eastAsia="zh-CN"/>
        </w:rPr>
        <w:t>项目需在</w:t>
      </w:r>
      <w:r>
        <w:rPr>
          <w:rFonts w:hint="eastAsia"/>
          <w:color w:val="auto"/>
          <w:sz w:val="24"/>
          <w:szCs w:val="24"/>
          <w:highlight w:val="none"/>
          <w:lang w:val="en-US" w:eastAsia="zh-CN"/>
        </w:rPr>
        <w:t>合同签订</w:t>
      </w:r>
      <w:r>
        <w:rPr>
          <w:rFonts w:hint="eastAsia"/>
          <w:color w:val="auto"/>
          <w:sz w:val="24"/>
          <w:szCs w:val="24"/>
          <w:lang w:val="en-US" w:eastAsia="zh-CN"/>
        </w:rPr>
        <w:t>后45个自然日内全部按要求实施完成，上线使用；为确保项目顺利实施，承建方需提供如下资料（包括但不限于）：</w:t>
      </w:r>
    </w:p>
    <w:p>
      <w:pPr>
        <w:bidi w:val="0"/>
        <w:spacing w:line="360" w:lineRule="auto"/>
        <w:rPr>
          <w:rFonts w:hint="eastAsia"/>
          <w:color w:val="auto"/>
          <w:sz w:val="24"/>
          <w:szCs w:val="24"/>
          <w:lang w:val="en-US" w:eastAsia="zh-CN"/>
        </w:rPr>
      </w:pPr>
      <w:r>
        <w:rPr>
          <w:rFonts w:hint="eastAsia"/>
          <w:color w:val="auto"/>
          <w:sz w:val="24"/>
          <w:szCs w:val="24"/>
          <w:lang w:val="en-US" w:eastAsia="zh-CN"/>
        </w:rPr>
        <w:t>1、实施计划：包括项目总体计划和详细计划。</w:t>
      </w:r>
    </w:p>
    <w:p>
      <w:pPr>
        <w:bidi w:val="0"/>
        <w:spacing w:line="360" w:lineRule="auto"/>
        <w:rPr>
          <w:rFonts w:hint="eastAsia"/>
          <w:color w:val="auto"/>
          <w:sz w:val="24"/>
          <w:szCs w:val="24"/>
          <w:lang w:val="en-US" w:eastAsia="zh-CN"/>
        </w:rPr>
      </w:pPr>
      <w:r>
        <w:rPr>
          <w:rFonts w:hint="eastAsia"/>
          <w:color w:val="auto"/>
          <w:sz w:val="24"/>
          <w:szCs w:val="24"/>
          <w:lang w:val="en-US" w:eastAsia="zh-CN"/>
        </w:rPr>
        <w:t>2、项目人员：包括项目负责人、人员分工、人员资质等信息。</w:t>
      </w:r>
    </w:p>
    <w:p>
      <w:pPr>
        <w:bidi w:val="0"/>
        <w:spacing w:line="360" w:lineRule="auto"/>
        <w:rPr>
          <w:rFonts w:hint="eastAsia"/>
          <w:color w:val="auto"/>
          <w:sz w:val="24"/>
          <w:szCs w:val="24"/>
          <w:lang w:val="en-US" w:eastAsia="zh-CN"/>
        </w:rPr>
      </w:pPr>
      <w:r>
        <w:rPr>
          <w:rFonts w:hint="eastAsia"/>
          <w:color w:val="auto"/>
          <w:sz w:val="24"/>
          <w:szCs w:val="24"/>
          <w:lang w:val="en-US" w:eastAsia="zh-CN"/>
        </w:rPr>
        <w:t>3、需要甲方提前准备的基础设施环境清单。</w:t>
      </w:r>
    </w:p>
    <w:p>
      <w:pPr>
        <w:bidi w:val="0"/>
        <w:spacing w:line="360" w:lineRule="auto"/>
        <w:rPr>
          <w:rFonts w:hint="eastAsia"/>
          <w:color w:val="auto"/>
          <w:sz w:val="24"/>
          <w:szCs w:val="24"/>
          <w:lang w:val="en-US" w:eastAsia="zh-CN"/>
        </w:rPr>
      </w:pPr>
      <w:r>
        <w:rPr>
          <w:rFonts w:hint="eastAsia"/>
          <w:color w:val="auto"/>
          <w:sz w:val="24"/>
          <w:szCs w:val="24"/>
          <w:lang w:val="en-US" w:eastAsia="zh-CN"/>
        </w:rPr>
        <w:t>4、安全保障方案。</w:t>
      </w:r>
    </w:p>
    <w:p>
      <w:pPr>
        <w:bidi w:val="0"/>
        <w:spacing w:line="360" w:lineRule="auto"/>
        <w:rPr>
          <w:rFonts w:hint="default"/>
          <w:color w:val="auto"/>
          <w:sz w:val="24"/>
          <w:szCs w:val="24"/>
          <w:lang w:val="en-US" w:eastAsia="zh-CN"/>
        </w:rPr>
      </w:pPr>
      <w:r>
        <w:rPr>
          <w:rFonts w:hint="eastAsia"/>
          <w:color w:val="auto"/>
          <w:sz w:val="24"/>
          <w:szCs w:val="24"/>
          <w:lang w:val="en-US" w:eastAsia="zh-CN"/>
        </w:rPr>
        <w:t>5、承建方负责项目涉及的所有硬件安装、调测。</w:t>
      </w:r>
    </w:p>
    <w:p>
      <w:pPr>
        <w:pStyle w:val="3"/>
        <w:rPr>
          <w:rFonts w:hint="default" w:ascii="宋体" w:hAnsi="宋体" w:cs="宋体"/>
          <w:color w:val="auto"/>
          <w:sz w:val="30"/>
          <w:szCs w:val="30"/>
          <w:lang w:val="en-US" w:eastAsia="zh-CN"/>
        </w:rPr>
      </w:pPr>
      <w:r>
        <w:rPr>
          <w:rFonts w:hint="eastAsia" w:ascii="宋体" w:hAnsi="宋体" w:cs="宋体"/>
          <w:color w:val="auto"/>
          <w:sz w:val="30"/>
          <w:szCs w:val="30"/>
          <w:lang w:val="en-US" w:eastAsia="zh-CN"/>
        </w:rPr>
        <w:t>六、售后服务需求</w:t>
      </w:r>
    </w:p>
    <w:p>
      <w:pPr>
        <w:bidi w:val="0"/>
        <w:spacing w:line="360" w:lineRule="auto"/>
        <w:rPr>
          <w:rFonts w:hint="eastAsia"/>
          <w:color w:val="auto"/>
          <w:sz w:val="24"/>
          <w:szCs w:val="24"/>
          <w:lang w:val="en-US" w:eastAsia="zh-CN"/>
        </w:rPr>
      </w:pPr>
      <w:r>
        <w:rPr>
          <w:rFonts w:hint="eastAsia" w:ascii="宋体" w:hAnsi="宋体" w:cs="宋体"/>
          <w:bCs/>
          <w:color w:val="auto"/>
        </w:rPr>
        <w:t>★</w:t>
      </w:r>
      <w:r>
        <w:rPr>
          <w:rFonts w:hint="eastAsia"/>
          <w:color w:val="auto"/>
          <w:sz w:val="24"/>
          <w:szCs w:val="24"/>
          <w:lang w:val="en-US" w:eastAsia="zh-CN"/>
        </w:rPr>
        <w:t>提供3年免费技术支持服务及系统维护服务。</w:t>
      </w:r>
    </w:p>
    <w:bookmarkEnd w:id="189"/>
    <w:bookmarkEnd w:id="190"/>
    <w:bookmarkEnd w:id="191"/>
    <w:bookmarkEnd w:id="192"/>
    <w:bookmarkEnd w:id="193"/>
    <w:bookmarkEnd w:id="194"/>
    <w:p>
      <w:pPr>
        <w:spacing w:line="360" w:lineRule="auto"/>
        <w:rPr>
          <w:rFonts w:hint="eastAsia"/>
          <w:color w:val="auto"/>
        </w:rPr>
      </w:pPr>
    </w:p>
    <w:p>
      <w:pPr>
        <w:rPr>
          <w:rFonts w:hint="eastAsia" w:ascii="宋体" w:hAnsi="宋体" w:cs="宋体"/>
          <w:color w:val="auto"/>
          <w:szCs w:val="21"/>
        </w:rPr>
      </w:pPr>
    </w:p>
    <w:p>
      <w:pPr>
        <w:pStyle w:val="3"/>
        <w:rPr>
          <w:color w:val="auto"/>
        </w:rPr>
      </w:pPr>
      <w:r>
        <w:rPr>
          <w:rFonts w:hint="eastAsia" w:cs="宋体"/>
          <w:color w:val="auto"/>
          <w:sz w:val="21"/>
          <w:szCs w:val="21"/>
          <w:highlight w:val="white"/>
        </w:rPr>
        <w:br w:type="page"/>
      </w:r>
      <w:bookmarkStart w:id="195" w:name="_Toc47023132"/>
      <w:bookmarkStart w:id="196" w:name="_Toc43369501"/>
      <w:bookmarkStart w:id="197" w:name="_Toc30168"/>
      <w:bookmarkStart w:id="198" w:name="_Toc4751"/>
      <w:bookmarkStart w:id="199" w:name="_Toc14086"/>
      <w:bookmarkStart w:id="200" w:name="_Toc32327"/>
      <w:r>
        <w:rPr>
          <w:color w:val="auto"/>
          <w:highlight w:val="white"/>
        </w:rPr>
        <w:t>第</w:t>
      </w:r>
      <w:r>
        <w:rPr>
          <w:rFonts w:hint="eastAsia"/>
          <w:color w:val="auto"/>
          <w:highlight w:val="white"/>
          <w:lang w:eastAsia="zh-CN"/>
        </w:rPr>
        <w:t>四</w:t>
      </w:r>
      <w:r>
        <w:rPr>
          <w:color w:val="auto"/>
          <w:highlight w:val="white"/>
        </w:rPr>
        <w:t>章  合同格式及条款</w:t>
      </w:r>
      <w:bookmarkEnd w:id="195"/>
      <w:bookmarkEnd w:id="196"/>
    </w:p>
    <w:p>
      <w:pPr>
        <w:rPr>
          <w:color w:val="auto"/>
          <w:highlight w:val="red"/>
        </w:rPr>
      </w:pPr>
    </w:p>
    <w:bookmarkEnd w:id="197"/>
    <w:bookmarkEnd w:id="198"/>
    <w:bookmarkEnd w:id="199"/>
    <w:bookmarkEnd w:id="200"/>
    <w:p>
      <w:pPr>
        <w:pStyle w:val="15"/>
        <w:snapToGrid w:val="0"/>
        <w:spacing w:line="360" w:lineRule="auto"/>
        <w:rPr>
          <w:rFonts w:asciiTheme="minorEastAsia" w:hAnsiTheme="minorEastAsia" w:cstheme="minorEastAsia"/>
          <w:color w:val="auto"/>
          <w:sz w:val="21"/>
        </w:rPr>
      </w:pPr>
      <w:r>
        <w:rPr>
          <w:rFonts w:hint="eastAsia" w:asciiTheme="minorEastAsia" w:hAnsiTheme="minorEastAsia" w:cstheme="minorEastAsia"/>
          <w:color w:val="auto"/>
          <w:sz w:val="21"/>
        </w:rPr>
        <w:t>以下为中标后</w:t>
      </w:r>
      <w:r>
        <w:rPr>
          <w:rFonts w:hint="eastAsia" w:asciiTheme="minorEastAsia" w:hAnsiTheme="minorEastAsia" w:cstheme="minorEastAsia"/>
          <w:color w:val="auto"/>
          <w:sz w:val="21"/>
          <w:highlight w:val="none"/>
          <w:lang w:eastAsia="zh-CN"/>
        </w:rPr>
        <w:t>签订</w:t>
      </w:r>
      <w:r>
        <w:rPr>
          <w:rFonts w:hint="eastAsia" w:asciiTheme="minorEastAsia" w:hAnsiTheme="minorEastAsia" w:cstheme="minorEastAsia"/>
          <w:color w:val="auto"/>
          <w:sz w:val="21"/>
        </w:rPr>
        <w:t>本项目合同的通用条款，中标人不得提出实质性的修改。关于专用条款将由招标人与中标人结合本项目具体情况协商后补充，但补充内容对招标文件和投标文件以及通用条款，不得作实质性修改。</w:t>
      </w:r>
    </w:p>
    <w:p>
      <w:pPr>
        <w:snapToGrid w:val="0"/>
        <w:spacing w:line="360" w:lineRule="auto"/>
        <w:ind w:firstLine="422"/>
        <w:jc w:val="center"/>
        <w:rPr>
          <w:rFonts w:hint="eastAsia" w:eastAsia="宋体" w:asciiTheme="minorEastAsia" w:hAnsiTheme="minorEastAsia" w:cstheme="minorEastAsia"/>
          <w:b/>
          <w:color w:val="auto"/>
          <w:kern w:val="0"/>
          <w:szCs w:val="21"/>
          <w:lang w:eastAsia="zh-CN"/>
        </w:rPr>
      </w:pPr>
      <w:r>
        <w:rPr>
          <w:rFonts w:hint="eastAsia" w:asciiTheme="minorEastAsia" w:hAnsiTheme="minorEastAsia" w:cstheme="minorEastAsia"/>
          <w:b/>
          <w:color w:val="auto"/>
          <w:szCs w:val="21"/>
        </w:rPr>
        <w:t>采购合同</w:t>
      </w:r>
      <w:r>
        <w:rPr>
          <w:rFonts w:hint="eastAsia" w:asciiTheme="minorEastAsia" w:hAnsiTheme="minorEastAsia" w:cstheme="minorEastAsia"/>
          <w:b/>
          <w:color w:val="auto"/>
          <w:szCs w:val="21"/>
          <w:lang w:eastAsia="zh-CN"/>
        </w:rPr>
        <w:t>（</w:t>
      </w:r>
      <w:r>
        <w:rPr>
          <w:rFonts w:hint="eastAsia" w:asciiTheme="minorEastAsia" w:hAnsiTheme="minorEastAsia" w:cstheme="minorEastAsia"/>
          <w:b/>
          <w:color w:val="auto"/>
          <w:szCs w:val="21"/>
          <w:lang w:val="en-US" w:eastAsia="zh-CN"/>
        </w:rPr>
        <w:t>模板</w:t>
      </w:r>
      <w:r>
        <w:rPr>
          <w:rFonts w:hint="eastAsia" w:asciiTheme="minorEastAsia" w:hAnsiTheme="minorEastAsia" w:cstheme="minorEastAsia"/>
          <w:b/>
          <w:color w:val="auto"/>
          <w:szCs w:val="21"/>
          <w:lang w:eastAsia="zh-CN"/>
        </w:rPr>
        <w:t>）</w:t>
      </w:r>
    </w:p>
    <w:p>
      <w:pPr>
        <w:pStyle w:val="15"/>
        <w:snapToGrid w:val="0"/>
        <w:spacing w:line="360" w:lineRule="auto"/>
        <w:rPr>
          <w:rFonts w:hint="eastAsia" w:asciiTheme="minorEastAsia" w:hAnsiTheme="minorEastAsia" w:cstheme="minorEastAsia"/>
          <w:color w:val="auto"/>
          <w:sz w:val="21"/>
        </w:rPr>
      </w:pPr>
      <w:r>
        <w:rPr>
          <w:rFonts w:hint="eastAsia" w:asciiTheme="minorEastAsia" w:hAnsiTheme="minorEastAsia" w:cstheme="minorEastAsia"/>
          <w:color w:val="auto"/>
          <w:sz w:val="21"/>
        </w:rPr>
        <w:t>项目名称：</w:t>
      </w:r>
      <w:r>
        <w:rPr>
          <w:rFonts w:hint="eastAsia" w:asciiTheme="minorEastAsia" w:hAnsiTheme="minorEastAsia" w:cstheme="minorEastAsia"/>
          <w:color w:val="auto"/>
          <w:sz w:val="21"/>
          <w:lang w:eastAsia="zh-CN"/>
        </w:rPr>
        <w:t>扬州市民卡公司智能客服管理系统</w:t>
      </w:r>
      <w:r>
        <w:rPr>
          <w:rFonts w:hint="eastAsia" w:asciiTheme="minorEastAsia" w:hAnsiTheme="minorEastAsia" w:cstheme="minorEastAsia"/>
          <w:color w:val="auto"/>
          <w:sz w:val="21"/>
        </w:rPr>
        <w:t xml:space="preserve">项目 </w:t>
      </w:r>
    </w:p>
    <w:p>
      <w:pPr>
        <w:pStyle w:val="15"/>
        <w:snapToGrid w:val="0"/>
        <w:spacing w:line="360" w:lineRule="auto"/>
        <w:rPr>
          <w:rFonts w:asciiTheme="minorEastAsia" w:hAnsiTheme="minorEastAsia" w:cstheme="minorEastAsia"/>
          <w:color w:val="auto"/>
          <w:sz w:val="21"/>
        </w:rPr>
      </w:pPr>
      <w:r>
        <w:rPr>
          <w:rFonts w:hint="eastAsia" w:asciiTheme="minorEastAsia" w:hAnsiTheme="minorEastAsia" w:cstheme="minorEastAsia"/>
          <w:color w:val="auto"/>
          <w:sz w:val="21"/>
        </w:rPr>
        <w:t>甲方（招标人/买方）：扬州市民卡有限责任公司</w:t>
      </w:r>
    </w:p>
    <w:p>
      <w:pPr>
        <w:pStyle w:val="15"/>
        <w:snapToGrid w:val="0"/>
        <w:spacing w:line="360" w:lineRule="auto"/>
        <w:rPr>
          <w:rFonts w:asciiTheme="minorEastAsia" w:hAnsiTheme="minorEastAsia" w:cstheme="minorEastAsia"/>
          <w:color w:val="auto"/>
          <w:sz w:val="21"/>
          <w:u w:val="single"/>
        </w:rPr>
      </w:pPr>
      <w:r>
        <w:rPr>
          <w:rFonts w:hint="eastAsia" w:asciiTheme="minorEastAsia" w:hAnsiTheme="minorEastAsia" w:cstheme="minorEastAsia"/>
          <w:color w:val="auto"/>
          <w:sz w:val="21"/>
        </w:rPr>
        <w:t>乙方（中标人/卖方）：</w:t>
      </w:r>
      <w:r>
        <w:rPr>
          <w:rFonts w:hint="eastAsia" w:asciiTheme="minorEastAsia" w:hAnsiTheme="minorEastAsia" w:cstheme="minorEastAsia"/>
          <w:color w:val="auto"/>
          <w:sz w:val="21"/>
          <w:u w:val="single"/>
        </w:rPr>
        <w:t xml:space="preserve">              </w:t>
      </w:r>
    </w:p>
    <w:p>
      <w:pPr>
        <w:pStyle w:val="15"/>
        <w:snapToGrid w:val="0"/>
        <w:spacing w:line="360" w:lineRule="auto"/>
        <w:rPr>
          <w:rFonts w:asciiTheme="minorEastAsia" w:hAnsiTheme="minorEastAsia" w:cstheme="minorEastAsia"/>
          <w:color w:val="auto"/>
          <w:sz w:val="21"/>
        </w:rPr>
      </w:pPr>
      <w:r>
        <w:rPr>
          <w:rFonts w:hint="eastAsia" w:asciiTheme="minorEastAsia" w:hAnsiTheme="minorEastAsia" w:cstheme="minorEastAsia"/>
          <w:color w:val="auto"/>
          <w:sz w:val="21"/>
        </w:rPr>
        <w:t>根据《中华人民共和国招标投标法》、《中华人民共和国合同法》等法律法规的规定，甲乙双方按照招标结果签订本合同。</w:t>
      </w:r>
    </w:p>
    <w:p>
      <w:pPr>
        <w:pStyle w:val="15"/>
        <w:snapToGrid w:val="0"/>
        <w:spacing w:line="360" w:lineRule="auto"/>
        <w:ind w:firstLine="422"/>
        <w:rPr>
          <w:rFonts w:asciiTheme="minorEastAsia" w:hAnsiTheme="minorEastAsia" w:cstheme="minorEastAsia"/>
          <w:b/>
          <w:bCs/>
          <w:color w:val="auto"/>
          <w:sz w:val="21"/>
        </w:rPr>
      </w:pPr>
      <w:r>
        <w:rPr>
          <w:rFonts w:hint="eastAsia" w:asciiTheme="minorEastAsia" w:hAnsiTheme="minorEastAsia" w:cstheme="minorEastAsia"/>
          <w:b/>
          <w:bCs/>
          <w:color w:val="auto"/>
          <w:sz w:val="21"/>
        </w:rPr>
        <w:t>1、合同标的</w:t>
      </w:r>
    </w:p>
    <w:p>
      <w:pPr>
        <w:pStyle w:val="15"/>
        <w:snapToGrid w:val="0"/>
        <w:spacing w:line="360" w:lineRule="auto"/>
        <w:rPr>
          <w:rFonts w:asciiTheme="minorEastAsia" w:hAnsiTheme="minorEastAsia" w:cstheme="minorEastAsia"/>
          <w:color w:val="auto"/>
          <w:sz w:val="21"/>
        </w:rPr>
      </w:pPr>
      <w:r>
        <w:rPr>
          <w:rFonts w:hint="eastAsia" w:asciiTheme="minorEastAsia" w:hAnsiTheme="minorEastAsia" w:cstheme="minorEastAsia"/>
          <w:color w:val="auto"/>
          <w:sz w:val="21"/>
        </w:rPr>
        <w:t>乙方根据甲方需求，提供下列货物：</w:t>
      </w:r>
      <w:r>
        <w:rPr>
          <w:rFonts w:hint="eastAsia" w:asciiTheme="minorEastAsia" w:hAnsiTheme="minorEastAsia" w:cstheme="minorEastAsia"/>
          <w:color w:val="auto"/>
          <w:sz w:val="21"/>
          <w:u w:val="single"/>
        </w:rPr>
        <w:t xml:space="preserve">                      </w:t>
      </w:r>
      <w:r>
        <w:rPr>
          <w:rFonts w:hint="eastAsia" w:asciiTheme="minorEastAsia" w:hAnsiTheme="minorEastAsia" w:cstheme="minorEastAsia"/>
          <w:color w:val="auto"/>
          <w:sz w:val="21"/>
        </w:rPr>
        <w:t>。</w:t>
      </w:r>
    </w:p>
    <w:p>
      <w:pPr>
        <w:pStyle w:val="15"/>
        <w:snapToGrid w:val="0"/>
        <w:spacing w:line="360" w:lineRule="auto"/>
        <w:rPr>
          <w:rFonts w:asciiTheme="minorEastAsia" w:hAnsiTheme="minorEastAsia" w:cstheme="minorEastAsia"/>
          <w:b/>
          <w:color w:val="auto"/>
          <w:sz w:val="21"/>
        </w:rPr>
      </w:pPr>
      <w:r>
        <w:rPr>
          <w:rFonts w:hint="eastAsia" w:asciiTheme="minorEastAsia" w:hAnsiTheme="minorEastAsia" w:cstheme="minorEastAsia"/>
          <w:color w:val="auto"/>
          <w:sz w:val="21"/>
        </w:rPr>
        <w:t>货物名称、规格及数量等要求详见招投标文件。</w:t>
      </w:r>
    </w:p>
    <w:p>
      <w:pPr>
        <w:pStyle w:val="15"/>
        <w:snapToGrid w:val="0"/>
        <w:spacing w:line="360" w:lineRule="auto"/>
        <w:ind w:firstLine="422"/>
        <w:rPr>
          <w:rFonts w:asciiTheme="minorEastAsia" w:hAnsiTheme="minorEastAsia" w:cstheme="minorEastAsia"/>
          <w:b/>
          <w:bCs/>
          <w:color w:val="auto"/>
          <w:sz w:val="21"/>
        </w:rPr>
      </w:pPr>
      <w:r>
        <w:rPr>
          <w:rFonts w:hint="eastAsia" w:asciiTheme="minorEastAsia" w:hAnsiTheme="minorEastAsia" w:cstheme="minorEastAsia"/>
          <w:b/>
          <w:bCs/>
          <w:color w:val="auto"/>
          <w:sz w:val="21"/>
        </w:rPr>
        <w:t>2、合同总金额</w:t>
      </w:r>
    </w:p>
    <w:p>
      <w:pPr>
        <w:pStyle w:val="15"/>
        <w:snapToGrid w:val="0"/>
        <w:spacing w:line="360" w:lineRule="auto"/>
        <w:ind w:left="315" w:leftChars="150" w:firstLine="105" w:firstLineChars="50"/>
        <w:rPr>
          <w:rFonts w:asciiTheme="minorEastAsia" w:hAnsiTheme="minorEastAsia" w:cstheme="minorEastAsia"/>
          <w:color w:val="auto"/>
          <w:sz w:val="21"/>
        </w:rPr>
      </w:pPr>
      <w:r>
        <w:rPr>
          <w:rFonts w:hint="eastAsia" w:asciiTheme="minorEastAsia" w:hAnsiTheme="minorEastAsia" w:cstheme="minorEastAsia"/>
          <w:color w:val="auto"/>
          <w:sz w:val="21"/>
        </w:rPr>
        <w:t>2.1 本合同金额为（大写）：</w:t>
      </w:r>
      <w:r>
        <w:rPr>
          <w:rFonts w:hint="eastAsia" w:asciiTheme="minorEastAsia" w:hAnsiTheme="minorEastAsia" w:cstheme="minorEastAsia"/>
          <w:color w:val="auto"/>
          <w:sz w:val="21"/>
          <w:u w:val="single"/>
        </w:rPr>
        <w:t xml:space="preserve">                  </w:t>
      </w:r>
      <w:r>
        <w:rPr>
          <w:rFonts w:hint="eastAsia" w:asciiTheme="minorEastAsia" w:hAnsiTheme="minorEastAsia" w:cstheme="minorEastAsia"/>
          <w:color w:val="auto"/>
          <w:sz w:val="21"/>
        </w:rPr>
        <w:t>元人民币（¥</w:t>
      </w:r>
      <w:r>
        <w:rPr>
          <w:rFonts w:hint="eastAsia" w:asciiTheme="minorEastAsia" w:hAnsiTheme="minorEastAsia" w:cstheme="minorEastAsia"/>
          <w:color w:val="auto"/>
          <w:sz w:val="21"/>
          <w:u w:val="single"/>
        </w:rPr>
        <w:t xml:space="preserve">    </w:t>
      </w:r>
      <w:r>
        <w:rPr>
          <w:rFonts w:hint="eastAsia" w:asciiTheme="minorEastAsia" w:hAnsiTheme="minorEastAsia" w:cstheme="minorEastAsia"/>
          <w:color w:val="auto"/>
          <w:sz w:val="21"/>
        </w:rPr>
        <w:t>元）。</w:t>
      </w:r>
    </w:p>
    <w:p>
      <w:pPr>
        <w:pStyle w:val="15"/>
        <w:snapToGrid w:val="0"/>
        <w:spacing w:line="360" w:lineRule="auto"/>
        <w:rPr>
          <w:rFonts w:asciiTheme="minorEastAsia" w:hAnsiTheme="minorEastAsia" w:cstheme="minorEastAsia"/>
          <w:color w:val="auto"/>
          <w:sz w:val="21"/>
        </w:rPr>
      </w:pPr>
      <w:r>
        <w:rPr>
          <w:rFonts w:hint="eastAsia" w:asciiTheme="minorEastAsia" w:hAnsiTheme="minorEastAsia" w:cstheme="minorEastAsia"/>
          <w:color w:val="auto"/>
          <w:sz w:val="21"/>
        </w:rPr>
        <w:t>2.2 本合同总金额包括所</w:t>
      </w:r>
      <w:r>
        <w:rPr>
          <w:rFonts w:hint="eastAsia" w:asciiTheme="minorEastAsia" w:hAnsiTheme="minorEastAsia" w:cstheme="minorEastAsia"/>
          <w:color w:val="auto"/>
          <w:sz w:val="21"/>
          <w:lang w:val="en-US" w:eastAsia="zh-CN"/>
        </w:rPr>
        <w:t>有</w:t>
      </w:r>
      <w:r>
        <w:rPr>
          <w:rFonts w:hint="eastAsia" w:asciiTheme="minorEastAsia" w:hAnsiTheme="minorEastAsia" w:cstheme="minorEastAsia"/>
          <w:color w:val="auto"/>
          <w:sz w:val="21"/>
        </w:rPr>
        <w:t>乙方提供货物的产品费用、安装调试费、测试验收费、培训费、 运行维护费用、税金及其他有关的为完成本项目</w:t>
      </w:r>
      <w:r>
        <w:rPr>
          <w:rFonts w:hint="eastAsia" w:asciiTheme="minorEastAsia" w:hAnsiTheme="minorEastAsia" w:cstheme="minorEastAsia"/>
          <w:color w:val="auto"/>
          <w:sz w:val="21"/>
          <w:highlight w:val="none"/>
          <w:lang w:eastAsia="zh-CN"/>
        </w:rPr>
        <w:t>发生地所有</w:t>
      </w:r>
      <w:r>
        <w:rPr>
          <w:rFonts w:hint="eastAsia" w:asciiTheme="minorEastAsia" w:hAnsiTheme="minorEastAsia" w:cstheme="minorEastAsia"/>
          <w:color w:val="auto"/>
          <w:sz w:val="21"/>
        </w:rPr>
        <w:t>费用，招标文件中另有规定的除外。</w:t>
      </w:r>
    </w:p>
    <w:p>
      <w:pPr>
        <w:pStyle w:val="15"/>
        <w:snapToGrid w:val="0"/>
        <w:spacing w:line="360" w:lineRule="auto"/>
        <w:rPr>
          <w:rFonts w:asciiTheme="minorEastAsia" w:hAnsiTheme="minorEastAsia" w:cstheme="minorEastAsia"/>
          <w:color w:val="auto"/>
          <w:sz w:val="21"/>
        </w:rPr>
      </w:pPr>
      <w:r>
        <w:rPr>
          <w:rFonts w:hint="eastAsia" w:asciiTheme="minorEastAsia" w:hAnsiTheme="minorEastAsia" w:cstheme="minorEastAsia"/>
          <w:color w:val="auto"/>
          <w:sz w:val="21"/>
        </w:rPr>
        <w:t>2.3 在招标文件未列明，而乙方认为履行本合同必需的费用也包含在合同总金额中。</w:t>
      </w:r>
    </w:p>
    <w:p>
      <w:pPr>
        <w:pStyle w:val="15"/>
        <w:snapToGrid w:val="0"/>
        <w:spacing w:line="360" w:lineRule="auto"/>
        <w:rPr>
          <w:rFonts w:asciiTheme="minorEastAsia" w:hAnsiTheme="minorEastAsia" w:cstheme="minorEastAsia"/>
          <w:color w:val="auto"/>
          <w:sz w:val="21"/>
        </w:rPr>
      </w:pPr>
      <w:r>
        <w:rPr>
          <w:rFonts w:hint="eastAsia" w:asciiTheme="minorEastAsia" w:hAnsiTheme="minorEastAsia" w:cstheme="minorEastAsia"/>
          <w:color w:val="auto"/>
          <w:sz w:val="21"/>
        </w:rPr>
        <w:t>2.4 本合同总金额还包含乙方提供的伴随服务/售后服务费用。</w:t>
      </w:r>
    </w:p>
    <w:p>
      <w:pPr>
        <w:pStyle w:val="15"/>
        <w:snapToGrid w:val="0"/>
        <w:spacing w:line="360" w:lineRule="auto"/>
        <w:rPr>
          <w:rFonts w:asciiTheme="minorEastAsia" w:hAnsiTheme="minorEastAsia" w:cstheme="minorEastAsia"/>
          <w:color w:val="auto"/>
          <w:sz w:val="21"/>
        </w:rPr>
      </w:pPr>
      <w:r>
        <w:rPr>
          <w:rFonts w:hint="eastAsia" w:asciiTheme="minorEastAsia" w:hAnsiTheme="minorEastAsia" w:cstheme="minorEastAsia"/>
          <w:color w:val="auto"/>
          <w:sz w:val="21"/>
        </w:rPr>
        <w:t>2.5 本合同签订后：甲方需追加与合同标的相同的货物和服务的，在不改变合同其他条款的前提下，可以与乙方协商签订补充合同，但所有补充合同的增加的金额不超过原合同金额的10%；甲方若由于各种客观原因，必须对采购项目所牵涉的货物和服务进行适当的减少时，在与乙方协商一致后，可以按照招标采购时的价格水平做相应的调减，并据此签订补充合同；除上述情况外，本合同执行期间合同总金额不变。</w:t>
      </w:r>
    </w:p>
    <w:p>
      <w:pPr>
        <w:pStyle w:val="15"/>
        <w:snapToGrid w:val="0"/>
        <w:spacing w:line="360" w:lineRule="auto"/>
        <w:ind w:firstLine="422"/>
        <w:rPr>
          <w:rFonts w:asciiTheme="minorEastAsia" w:hAnsiTheme="minorEastAsia" w:cstheme="minorEastAsia"/>
          <w:b/>
          <w:bCs/>
          <w:color w:val="auto"/>
          <w:sz w:val="21"/>
        </w:rPr>
      </w:pPr>
      <w:r>
        <w:rPr>
          <w:rFonts w:hint="eastAsia" w:asciiTheme="minorEastAsia" w:hAnsiTheme="minorEastAsia" w:cstheme="minorEastAsia"/>
          <w:b/>
          <w:bCs/>
          <w:color w:val="auto"/>
          <w:sz w:val="21"/>
        </w:rPr>
        <w:t>3、组成本合同的有关文件</w:t>
      </w:r>
    </w:p>
    <w:p>
      <w:pPr>
        <w:pStyle w:val="15"/>
        <w:snapToGrid w:val="0"/>
        <w:spacing w:line="360" w:lineRule="auto"/>
        <w:ind w:left="315" w:leftChars="150" w:firstLine="105" w:firstLineChars="50"/>
        <w:rPr>
          <w:rFonts w:asciiTheme="minorEastAsia" w:hAnsiTheme="minorEastAsia" w:cstheme="minorEastAsia"/>
          <w:color w:val="auto"/>
          <w:sz w:val="21"/>
        </w:rPr>
      </w:pPr>
      <w:r>
        <w:rPr>
          <w:rFonts w:hint="eastAsia" w:asciiTheme="minorEastAsia" w:hAnsiTheme="minorEastAsia" w:cstheme="minorEastAsia"/>
          <w:color w:val="auto"/>
          <w:sz w:val="21"/>
        </w:rPr>
        <w:t>3.1乙方应按招标文件规定的时间向甲方提供使用货物的有关技术资料。</w:t>
      </w:r>
    </w:p>
    <w:p>
      <w:pPr>
        <w:pStyle w:val="15"/>
        <w:snapToGrid w:val="0"/>
        <w:spacing w:line="360" w:lineRule="auto"/>
        <w:rPr>
          <w:rFonts w:asciiTheme="minorEastAsia" w:hAnsiTheme="minorEastAsia" w:cstheme="minorEastAsia"/>
          <w:color w:val="auto"/>
          <w:sz w:val="21"/>
        </w:rPr>
      </w:pPr>
      <w:r>
        <w:rPr>
          <w:rFonts w:hint="eastAsia" w:asciiTheme="minorEastAsia" w:hAnsiTheme="minorEastAsia" w:cstheme="minorEastAsia"/>
          <w:color w:val="auto"/>
          <w:sz w:val="21"/>
        </w:rPr>
        <w:t>3.2 没有甲方事先书面同意，乙方不得将由甲方提供的有关合同或任何合同条文、规格、计划、图纸、样品或资料提供给任何其他人。即使向履行本合同有关的人员提供，也应注意保密并限于履行合同的必需范围。</w:t>
      </w:r>
    </w:p>
    <w:p>
      <w:pPr>
        <w:pStyle w:val="15"/>
        <w:snapToGrid w:val="0"/>
        <w:spacing w:line="360" w:lineRule="auto"/>
        <w:ind w:left="315" w:leftChars="150" w:firstLine="105" w:firstLineChars="50"/>
        <w:rPr>
          <w:rFonts w:asciiTheme="minorEastAsia" w:hAnsiTheme="minorEastAsia" w:cstheme="minorEastAsia"/>
          <w:color w:val="auto"/>
          <w:sz w:val="21"/>
        </w:rPr>
      </w:pPr>
      <w:r>
        <w:rPr>
          <w:rFonts w:hint="eastAsia" w:asciiTheme="minorEastAsia" w:hAnsiTheme="minorEastAsia" w:cstheme="minorEastAsia"/>
          <w:color w:val="auto"/>
          <w:sz w:val="21"/>
        </w:rPr>
        <w:t>3.3 关于本项目政府采购的招投标文件或与本次采购活动方式相适应的文件及有关附件是本合同不可分割的组成部分，这些文件包括但不限于：</w:t>
      </w:r>
    </w:p>
    <w:p>
      <w:pPr>
        <w:pStyle w:val="15"/>
        <w:snapToGrid w:val="0"/>
        <w:spacing w:line="360" w:lineRule="auto"/>
        <w:ind w:firstLine="210" w:firstLineChars="100"/>
        <w:rPr>
          <w:rFonts w:asciiTheme="minorEastAsia" w:hAnsiTheme="minorEastAsia" w:cstheme="minorEastAsia"/>
          <w:color w:val="auto"/>
          <w:sz w:val="21"/>
        </w:rPr>
      </w:pPr>
      <w:r>
        <w:rPr>
          <w:rFonts w:hint="eastAsia" w:asciiTheme="minorEastAsia" w:hAnsiTheme="minorEastAsia" w:cstheme="minorEastAsia"/>
          <w:color w:val="auto"/>
          <w:sz w:val="21"/>
        </w:rPr>
        <w:t xml:space="preserve">（1）投标响应文件； </w:t>
      </w:r>
    </w:p>
    <w:p>
      <w:pPr>
        <w:pStyle w:val="15"/>
        <w:snapToGrid w:val="0"/>
        <w:spacing w:line="360" w:lineRule="auto"/>
        <w:ind w:firstLine="210" w:firstLineChars="100"/>
        <w:rPr>
          <w:rFonts w:asciiTheme="minorEastAsia" w:hAnsiTheme="minorEastAsia" w:cstheme="minorEastAsia"/>
          <w:color w:val="auto"/>
          <w:sz w:val="21"/>
        </w:rPr>
      </w:pPr>
      <w:r>
        <w:rPr>
          <w:rFonts w:hint="eastAsia" w:asciiTheme="minorEastAsia" w:hAnsiTheme="minorEastAsia" w:cstheme="minorEastAsia"/>
          <w:color w:val="auto"/>
          <w:sz w:val="21"/>
        </w:rPr>
        <w:t>（2）投标产品配置与报价文件；</w:t>
      </w:r>
    </w:p>
    <w:p>
      <w:pPr>
        <w:pStyle w:val="15"/>
        <w:snapToGrid w:val="0"/>
        <w:spacing w:line="360" w:lineRule="auto"/>
        <w:ind w:firstLine="210" w:firstLineChars="100"/>
        <w:rPr>
          <w:rFonts w:asciiTheme="minorEastAsia" w:hAnsiTheme="minorEastAsia" w:cstheme="minorEastAsia"/>
          <w:color w:val="auto"/>
          <w:sz w:val="21"/>
        </w:rPr>
      </w:pPr>
      <w:r>
        <w:rPr>
          <w:rFonts w:hint="eastAsia" w:asciiTheme="minorEastAsia" w:hAnsiTheme="minorEastAsia" w:cstheme="minorEastAsia"/>
          <w:color w:val="auto"/>
          <w:sz w:val="21"/>
        </w:rPr>
        <w:t xml:space="preserve">（3）服务承诺；                   </w:t>
      </w:r>
    </w:p>
    <w:p>
      <w:pPr>
        <w:pStyle w:val="15"/>
        <w:snapToGrid w:val="0"/>
        <w:spacing w:line="360" w:lineRule="auto"/>
        <w:ind w:firstLine="422"/>
        <w:rPr>
          <w:rFonts w:asciiTheme="minorEastAsia" w:hAnsiTheme="minorEastAsia" w:cstheme="minorEastAsia"/>
          <w:b/>
          <w:bCs/>
          <w:color w:val="auto"/>
          <w:sz w:val="21"/>
        </w:rPr>
      </w:pPr>
      <w:r>
        <w:rPr>
          <w:rFonts w:hint="eastAsia" w:asciiTheme="minorEastAsia" w:hAnsiTheme="minorEastAsia" w:cstheme="minorEastAsia"/>
          <w:b/>
          <w:bCs/>
          <w:color w:val="auto"/>
          <w:sz w:val="21"/>
        </w:rPr>
        <w:t>4、知识产权保证</w:t>
      </w:r>
    </w:p>
    <w:p>
      <w:pPr>
        <w:autoSpaceDE w:val="0"/>
        <w:autoSpaceDN w:val="0"/>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乙方保证甲方在使用、接受本合同货物和服务或其任何一部分时，不受第三方提出侵犯其专利权、版权、商标权和工业设计权等知识产权的起诉。一旦出现侵权，由乙方负全部责任。</w:t>
      </w:r>
    </w:p>
    <w:p>
      <w:pPr>
        <w:pStyle w:val="15"/>
        <w:snapToGrid w:val="0"/>
        <w:spacing w:line="360" w:lineRule="auto"/>
        <w:ind w:firstLine="422"/>
        <w:rPr>
          <w:rFonts w:asciiTheme="minorEastAsia" w:hAnsiTheme="minorEastAsia" w:cstheme="minorEastAsia"/>
          <w:b/>
          <w:bCs/>
          <w:color w:val="auto"/>
          <w:sz w:val="21"/>
        </w:rPr>
      </w:pPr>
      <w:r>
        <w:rPr>
          <w:rFonts w:hint="eastAsia" w:asciiTheme="minorEastAsia" w:hAnsiTheme="minorEastAsia" w:cstheme="minorEastAsia"/>
          <w:b/>
          <w:bCs/>
          <w:color w:val="auto"/>
          <w:sz w:val="21"/>
        </w:rPr>
        <w:t>5、产权保证</w:t>
      </w:r>
    </w:p>
    <w:p>
      <w:pPr>
        <w:autoSpaceDE w:val="0"/>
        <w:autoSpaceDN w:val="0"/>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乙方保证所交付的货物的所有权无任何抵押、查封等权利瑕疵。</w:t>
      </w:r>
    </w:p>
    <w:p>
      <w:pPr>
        <w:pStyle w:val="15"/>
        <w:snapToGrid w:val="0"/>
        <w:spacing w:line="360" w:lineRule="auto"/>
        <w:ind w:left="315" w:leftChars="150" w:firstLine="105" w:firstLineChars="50"/>
        <w:rPr>
          <w:rFonts w:asciiTheme="minorEastAsia" w:hAnsiTheme="minorEastAsia" w:cstheme="minorEastAsia"/>
          <w:b/>
          <w:bCs/>
          <w:color w:val="auto"/>
          <w:sz w:val="21"/>
        </w:rPr>
      </w:pPr>
      <w:r>
        <w:rPr>
          <w:rFonts w:hint="eastAsia" w:asciiTheme="minorEastAsia" w:hAnsiTheme="minorEastAsia" w:cstheme="minorEastAsia"/>
          <w:b/>
          <w:bCs/>
          <w:color w:val="auto"/>
          <w:sz w:val="21"/>
        </w:rPr>
        <w:t>7、转包或分包</w:t>
      </w:r>
    </w:p>
    <w:p>
      <w:pPr>
        <w:pStyle w:val="15"/>
        <w:snapToGrid w:val="0"/>
        <w:spacing w:line="360" w:lineRule="auto"/>
        <w:rPr>
          <w:rFonts w:asciiTheme="minorEastAsia" w:hAnsiTheme="minorEastAsia" w:cstheme="minorEastAsia"/>
          <w:color w:val="auto"/>
          <w:sz w:val="21"/>
        </w:rPr>
      </w:pPr>
      <w:r>
        <w:rPr>
          <w:rFonts w:hint="eastAsia" w:asciiTheme="minorEastAsia" w:hAnsiTheme="minorEastAsia" w:cstheme="minorEastAsia"/>
          <w:color w:val="auto"/>
          <w:sz w:val="21"/>
        </w:rPr>
        <w:t>7.1 本合同禁止转包，本合同范围的货物，应由乙方直接供应的，不得转让他人供应。</w:t>
      </w:r>
    </w:p>
    <w:p>
      <w:pPr>
        <w:pStyle w:val="15"/>
        <w:snapToGrid w:val="0"/>
        <w:spacing w:line="360" w:lineRule="auto"/>
        <w:rPr>
          <w:rFonts w:asciiTheme="minorEastAsia" w:hAnsiTheme="minorEastAsia" w:cstheme="minorEastAsia"/>
          <w:color w:val="auto"/>
          <w:sz w:val="21"/>
        </w:rPr>
      </w:pPr>
      <w:r>
        <w:rPr>
          <w:rFonts w:hint="eastAsia" w:asciiTheme="minorEastAsia" w:hAnsiTheme="minorEastAsia" w:cstheme="minorEastAsia"/>
          <w:color w:val="auto"/>
          <w:sz w:val="21"/>
        </w:rPr>
        <w:t>7.2 经甲方同意，乙方可以依法采取分包方式履行合同，但是分包方式履行的，乙方应就采购项目向甲方负全责。</w:t>
      </w:r>
    </w:p>
    <w:p>
      <w:pPr>
        <w:pStyle w:val="15"/>
        <w:snapToGrid w:val="0"/>
        <w:spacing w:line="360" w:lineRule="auto"/>
        <w:ind w:left="315" w:leftChars="150" w:firstLine="105" w:firstLineChars="50"/>
        <w:rPr>
          <w:rFonts w:asciiTheme="minorEastAsia" w:hAnsiTheme="minorEastAsia" w:cstheme="minorEastAsia"/>
          <w:b/>
          <w:bCs/>
          <w:color w:val="auto"/>
          <w:sz w:val="21"/>
        </w:rPr>
      </w:pPr>
      <w:r>
        <w:rPr>
          <w:rFonts w:hint="eastAsia" w:asciiTheme="minorEastAsia" w:hAnsiTheme="minorEastAsia" w:cstheme="minorEastAsia"/>
          <w:b/>
          <w:bCs/>
          <w:color w:val="auto"/>
          <w:sz w:val="21"/>
        </w:rPr>
        <w:t>8、质保期</w:t>
      </w:r>
    </w:p>
    <w:p>
      <w:pPr>
        <w:pStyle w:val="15"/>
        <w:snapToGrid w:val="0"/>
        <w:spacing w:line="360" w:lineRule="auto"/>
        <w:ind w:left="315" w:leftChars="150" w:firstLine="105" w:firstLineChars="50"/>
        <w:rPr>
          <w:rFonts w:asciiTheme="minorEastAsia" w:hAnsiTheme="minorEastAsia" w:cstheme="minorEastAsia"/>
          <w:color w:val="auto"/>
          <w:sz w:val="21"/>
          <w:highlight w:val="none"/>
        </w:rPr>
      </w:pPr>
      <w:r>
        <w:rPr>
          <w:rFonts w:hint="eastAsia" w:asciiTheme="minorEastAsia" w:hAnsiTheme="minorEastAsia" w:cstheme="minorEastAsia"/>
          <w:color w:val="auto"/>
          <w:sz w:val="21"/>
          <w:highlight w:val="none"/>
        </w:rPr>
        <w:t>8.1 质保期</w:t>
      </w:r>
      <w:r>
        <w:rPr>
          <w:rFonts w:hint="eastAsia" w:asciiTheme="minorEastAsia" w:hAnsiTheme="minorEastAsia" w:cstheme="minorEastAsia"/>
          <w:color w:val="auto"/>
          <w:sz w:val="21"/>
          <w:highlight w:val="none"/>
          <w:u w:val="single"/>
        </w:rPr>
        <w:t xml:space="preserve">  </w:t>
      </w:r>
      <w:r>
        <w:rPr>
          <w:rFonts w:hint="eastAsia" w:asciiTheme="minorEastAsia" w:hAnsiTheme="minorEastAsia" w:cstheme="minorEastAsia"/>
          <w:color w:val="auto"/>
          <w:sz w:val="21"/>
          <w:highlight w:val="none"/>
          <w:u w:val="single"/>
          <w:lang w:val="en-US" w:eastAsia="zh-CN"/>
        </w:rPr>
        <w:t>3</w:t>
      </w:r>
      <w:r>
        <w:rPr>
          <w:rFonts w:hint="eastAsia" w:asciiTheme="minorEastAsia" w:hAnsiTheme="minorEastAsia" w:cstheme="minorEastAsia"/>
          <w:color w:val="auto"/>
          <w:sz w:val="21"/>
          <w:highlight w:val="none"/>
          <w:u w:val="single"/>
        </w:rPr>
        <w:t xml:space="preserve">  </w:t>
      </w:r>
      <w:r>
        <w:rPr>
          <w:rFonts w:hint="eastAsia" w:asciiTheme="minorEastAsia" w:hAnsiTheme="minorEastAsia" w:cstheme="minorEastAsia"/>
          <w:color w:val="auto"/>
          <w:sz w:val="21"/>
          <w:highlight w:val="none"/>
        </w:rPr>
        <w:t>年。（自交货验收合格之日起计）</w:t>
      </w:r>
    </w:p>
    <w:p>
      <w:pPr>
        <w:pStyle w:val="15"/>
        <w:snapToGrid w:val="0"/>
        <w:spacing w:line="360" w:lineRule="auto"/>
        <w:ind w:left="315" w:leftChars="150" w:firstLine="105" w:firstLineChars="50"/>
        <w:rPr>
          <w:rFonts w:asciiTheme="minorEastAsia" w:hAnsiTheme="minorEastAsia" w:cstheme="minorEastAsia"/>
          <w:b/>
          <w:bCs/>
          <w:color w:val="auto"/>
          <w:sz w:val="21"/>
        </w:rPr>
      </w:pPr>
      <w:r>
        <w:rPr>
          <w:rFonts w:hint="eastAsia" w:asciiTheme="minorEastAsia" w:hAnsiTheme="minorEastAsia" w:cstheme="minorEastAsia"/>
          <w:b/>
          <w:bCs/>
          <w:color w:val="auto"/>
          <w:sz w:val="21"/>
        </w:rPr>
        <w:t>9、交货期、交货方式及交货地点</w:t>
      </w:r>
    </w:p>
    <w:p>
      <w:pPr>
        <w:pStyle w:val="15"/>
        <w:snapToGrid w:val="0"/>
        <w:spacing w:line="360" w:lineRule="auto"/>
        <w:rPr>
          <w:rFonts w:asciiTheme="minorEastAsia" w:hAnsiTheme="minorEastAsia" w:cstheme="minorEastAsia"/>
          <w:bCs/>
          <w:color w:val="auto"/>
          <w:sz w:val="21"/>
        </w:rPr>
      </w:pPr>
      <w:r>
        <w:rPr>
          <w:rFonts w:hint="eastAsia" w:asciiTheme="minorEastAsia" w:hAnsiTheme="minorEastAsia" w:cstheme="minorEastAsia"/>
          <w:bCs/>
          <w:color w:val="auto"/>
          <w:sz w:val="21"/>
        </w:rPr>
        <w:t>9.1 交货期：</w:t>
      </w:r>
      <w:r>
        <w:rPr>
          <w:rFonts w:hint="eastAsia" w:asciiTheme="minorEastAsia" w:hAnsiTheme="minorEastAsia" w:cstheme="minorEastAsia"/>
          <w:color w:val="auto"/>
          <w:sz w:val="21"/>
          <w:u w:val="single"/>
        </w:rPr>
        <w:t xml:space="preserve">  </w:t>
      </w:r>
      <w:r>
        <w:rPr>
          <w:rFonts w:hint="eastAsia" w:asciiTheme="minorEastAsia" w:hAnsiTheme="minorEastAsia" w:cstheme="minorEastAsia"/>
          <w:color w:val="auto"/>
          <w:sz w:val="21"/>
          <w:u w:val="single"/>
          <w:lang w:val="en-US" w:eastAsia="zh-CN"/>
        </w:rPr>
        <w:t>45自然日</w:t>
      </w:r>
      <w:r>
        <w:rPr>
          <w:rFonts w:hint="eastAsia" w:asciiTheme="minorEastAsia" w:hAnsiTheme="minorEastAsia" w:cstheme="minorEastAsia"/>
          <w:color w:val="auto"/>
          <w:sz w:val="21"/>
          <w:u w:val="single"/>
        </w:rPr>
        <w:t xml:space="preserve">   </w:t>
      </w:r>
    </w:p>
    <w:p>
      <w:pPr>
        <w:pStyle w:val="15"/>
        <w:snapToGrid w:val="0"/>
        <w:spacing w:line="360" w:lineRule="auto"/>
        <w:rPr>
          <w:rFonts w:asciiTheme="minorEastAsia" w:hAnsiTheme="minorEastAsia" w:cstheme="minorEastAsia"/>
          <w:bCs/>
          <w:color w:val="auto"/>
          <w:sz w:val="21"/>
        </w:rPr>
      </w:pPr>
      <w:r>
        <w:rPr>
          <w:rFonts w:hint="eastAsia" w:asciiTheme="minorEastAsia" w:hAnsiTheme="minorEastAsia" w:cstheme="minorEastAsia"/>
          <w:bCs/>
          <w:color w:val="auto"/>
          <w:sz w:val="21"/>
        </w:rPr>
        <w:t>9.2 交货方式：</w:t>
      </w:r>
      <w:r>
        <w:rPr>
          <w:rFonts w:hint="eastAsia" w:asciiTheme="minorEastAsia" w:hAnsiTheme="minorEastAsia" w:cstheme="minorEastAsia"/>
          <w:color w:val="auto"/>
          <w:sz w:val="21"/>
          <w:u w:val="single"/>
        </w:rPr>
        <w:t xml:space="preserve">    </w:t>
      </w:r>
      <w:r>
        <w:rPr>
          <w:rFonts w:hint="eastAsia" w:asciiTheme="minorEastAsia" w:hAnsiTheme="minorEastAsia" w:cstheme="minorEastAsia"/>
          <w:color w:val="auto"/>
          <w:sz w:val="21"/>
          <w:u w:val="single"/>
          <w:lang w:val="en-US" w:eastAsia="zh-CN"/>
        </w:rPr>
        <w:t xml:space="preserve">    </w:t>
      </w:r>
      <w:r>
        <w:rPr>
          <w:rFonts w:hint="eastAsia" w:asciiTheme="minorEastAsia" w:hAnsiTheme="minorEastAsia" w:cstheme="minorEastAsia"/>
          <w:color w:val="auto"/>
          <w:sz w:val="21"/>
          <w:u w:val="single"/>
        </w:rPr>
        <w:t xml:space="preserve">    </w:t>
      </w:r>
    </w:p>
    <w:p>
      <w:pPr>
        <w:pStyle w:val="15"/>
        <w:snapToGrid w:val="0"/>
        <w:spacing w:line="360" w:lineRule="auto"/>
        <w:rPr>
          <w:rFonts w:asciiTheme="minorEastAsia" w:hAnsiTheme="minorEastAsia" w:cstheme="minorEastAsia"/>
          <w:b/>
          <w:color w:val="auto"/>
          <w:sz w:val="21"/>
        </w:rPr>
      </w:pPr>
      <w:r>
        <w:rPr>
          <w:rFonts w:hint="eastAsia" w:asciiTheme="minorEastAsia" w:hAnsiTheme="minorEastAsia" w:cstheme="minorEastAsia"/>
          <w:bCs/>
          <w:color w:val="auto"/>
          <w:sz w:val="21"/>
        </w:rPr>
        <w:t>9.3 交货地点：</w:t>
      </w:r>
      <w:r>
        <w:rPr>
          <w:rFonts w:hint="eastAsia" w:asciiTheme="minorEastAsia" w:hAnsiTheme="minorEastAsia" w:cstheme="minorEastAsia"/>
          <w:color w:val="auto"/>
          <w:sz w:val="21"/>
          <w:u w:val="single"/>
        </w:rPr>
        <w:t xml:space="preserve">   </w:t>
      </w:r>
      <w:r>
        <w:rPr>
          <w:rFonts w:hint="eastAsia" w:asciiTheme="minorEastAsia" w:hAnsiTheme="minorEastAsia" w:cstheme="minorEastAsia"/>
          <w:color w:val="auto"/>
          <w:sz w:val="21"/>
          <w:u w:val="single"/>
          <w:lang w:eastAsia="zh-CN"/>
        </w:rPr>
        <w:t>扬州市史可法路</w:t>
      </w:r>
      <w:r>
        <w:rPr>
          <w:rFonts w:hint="eastAsia" w:asciiTheme="minorEastAsia" w:hAnsiTheme="minorEastAsia" w:cstheme="minorEastAsia"/>
          <w:color w:val="auto"/>
          <w:sz w:val="21"/>
          <w:u w:val="single"/>
          <w:lang w:val="en-US" w:eastAsia="zh-CN"/>
        </w:rPr>
        <w:t>58号</w:t>
      </w:r>
      <w:r>
        <w:rPr>
          <w:rFonts w:hint="eastAsia" w:asciiTheme="minorEastAsia" w:hAnsiTheme="minorEastAsia" w:cstheme="minorEastAsia"/>
          <w:color w:val="auto"/>
          <w:sz w:val="21"/>
          <w:u w:val="single"/>
        </w:rPr>
        <w:t xml:space="preserve">  </w:t>
      </w:r>
      <w:r>
        <w:rPr>
          <w:rFonts w:hint="eastAsia" w:asciiTheme="minorEastAsia" w:hAnsiTheme="minorEastAsia" w:cstheme="minorEastAsia"/>
          <w:color w:val="auto"/>
          <w:sz w:val="21"/>
          <w:u w:val="single"/>
          <w:lang w:val="en-US" w:eastAsia="zh-CN"/>
        </w:rPr>
        <w:t xml:space="preserve">    </w:t>
      </w:r>
      <w:r>
        <w:rPr>
          <w:rFonts w:hint="eastAsia" w:asciiTheme="minorEastAsia" w:hAnsiTheme="minorEastAsia" w:cstheme="minorEastAsia"/>
          <w:color w:val="auto"/>
          <w:sz w:val="21"/>
          <w:u w:val="single"/>
        </w:rPr>
        <w:t xml:space="preserve">   </w:t>
      </w:r>
    </w:p>
    <w:p>
      <w:pPr>
        <w:pStyle w:val="15"/>
        <w:snapToGrid w:val="0"/>
        <w:spacing w:line="360" w:lineRule="auto"/>
        <w:ind w:left="315" w:leftChars="150" w:firstLine="105" w:firstLineChars="50"/>
        <w:rPr>
          <w:rFonts w:asciiTheme="minorEastAsia" w:hAnsiTheme="minorEastAsia" w:cstheme="minorEastAsia"/>
          <w:b/>
          <w:bCs/>
          <w:color w:val="auto"/>
          <w:sz w:val="21"/>
        </w:rPr>
      </w:pPr>
      <w:r>
        <w:rPr>
          <w:rFonts w:hint="eastAsia" w:asciiTheme="minorEastAsia" w:hAnsiTheme="minorEastAsia" w:cstheme="minorEastAsia"/>
          <w:b/>
          <w:bCs/>
          <w:color w:val="auto"/>
          <w:sz w:val="21"/>
        </w:rPr>
        <w:t>10、货款支付</w:t>
      </w:r>
    </w:p>
    <w:p>
      <w:pPr>
        <w:autoSpaceDE w:val="0"/>
        <w:autoSpaceDN w:val="0"/>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 xml:space="preserve">10.1 本合同项下所有款项均以人民币支付。 </w:t>
      </w:r>
    </w:p>
    <w:p>
      <w:pPr>
        <w:autoSpaceDE w:val="0"/>
        <w:autoSpaceDN w:val="0"/>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10.2 本合同项下的采购资金由甲方支付，付款</w:t>
      </w:r>
      <w:r>
        <w:rPr>
          <w:rFonts w:hint="eastAsia" w:asciiTheme="minorEastAsia" w:hAnsiTheme="minorEastAsia" w:cstheme="minorEastAsia"/>
          <w:color w:val="auto"/>
          <w:szCs w:val="21"/>
          <w:highlight w:val="none"/>
        </w:rPr>
        <w:t>前乙</w:t>
      </w:r>
      <w:r>
        <w:rPr>
          <w:rFonts w:hint="eastAsia" w:asciiTheme="minorEastAsia" w:hAnsiTheme="minorEastAsia" w:cstheme="minorEastAsia"/>
          <w:color w:val="auto"/>
          <w:szCs w:val="21"/>
        </w:rPr>
        <w:t>方向甲方开具增值税专用发票。</w:t>
      </w:r>
    </w:p>
    <w:p>
      <w:pPr>
        <w:pStyle w:val="15"/>
        <w:snapToGrid w:val="0"/>
        <w:spacing w:line="360" w:lineRule="auto"/>
        <w:rPr>
          <w:rFonts w:asciiTheme="minorEastAsia" w:hAnsiTheme="minorEastAsia" w:cstheme="minorEastAsia"/>
          <w:color w:val="auto"/>
          <w:sz w:val="21"/>
        </w:rPr>
      </w:pPr>
      <w:r>
        <w:rPr>
          <w:rFonts w:hint="eastAsia" w:asciiTheme="minorEastAsia" w:hAnsiTheme="minorEastAsia" w:cstheme="minorEastAsia"/>
          <w:color w:val="auto"/>
          <w:sz w:val="21"/>
        </w:rPr>
        <w:t>10.3 甲方付款方式：</w:t>
      </w:r>
    </w:p>
    <w:p>
      <w:pPr>
        <w:snapToGrid w:val="0"/>
        <w:spacing w:line="360" w:lineRule="auto"/>
        <w:rPr>
          <w:rFonts w:asciiTheme="minorEastAsia" w:hAnsiTheme="minorEastAsia" w:cstheme="minorEastAsia"/>
          <w:color w:val="FF0000"/>
          <w:szCs w:val="21"/>
        </w:rPr>
      </w:pPr>
      <w:r>
        <w:rPr>
          <w:rFonts w:hint="eastAsia" w:asciiTheme="minorEastAsia" w:hAnsiTheme="minorEastAsia" w:cstheme="minorEastAsia"/>
          <w:color w:val="auto"/>
          <w:szCs w:val="21"/>
        </w:rPr>
        <w:t>合同签订后，</w:t>
      </w:r>
      <w:r>
        <w:rPr>
          <w:rFonts w:hint="eastAsia" w:asciiTheme="minorEastAsia" w:hAnsiTheme="minorEastAsia" w:cstheme="minorEastAsia"/>
          <w:color w:val="auto"/>
          <w:szCs w:val="21"/>
          <w:lang w:eastAsia="zh-CN"/>
        </w:rPr>
        <w:t>乙方在合同约定时间内完成系统建设及运行调试，</w:t>
      </w:r>
      <w:r>
        <w:rPr>
          <w:rFonts w:hint="eastAsia" w:asciiTheme="minorEastAsia" w:hAnsiTheme="minorEastAsia" w:cstheme="minorEastAsia"/>
          <w:color w:val="auto"/>
          <w:szCs w:val="21"/>
        </w:rPr>
        <w:t>经甲方验收合格后甲方支付合同总价的</w:t>
      </w:r>
      <w:r>
        <w:rPr>
          <w:rFonts w:hint="eastAsia" w:asciiTheme="minorEastAsia" w:hAnsiTheme="minorEastAsia" w:cstheme="minorEastAsia"/>
          <w:color w:val="auto"/>
          <w:szCs w:val="21"/>
          <w:lang w:val="en-US" w:eastAsia="zh-CN"/>
        </w:rPr>
        <w:t>70</w:t>
      </w:r>
      <w:r>
        <w:rPr>
          <w:rFonts w:hint="eastAsia" w:asciiTheme="minorEastAsia" w:hAnsiTheme="minorEastAsia" w:cstheme="minorEastAsia"/>
          <w:color w:val="auto"/>
          <w:szCs w:val="21"/>
        </w:rPr>
        <w:t>%</w:t>
      </w:r>
      <w:r>
        <w:rPr>
          <w:rFonts w:hint="eastAsia" w:asciiTheme="minorEastAsia" w:hAnsiTheme="minorEastAsia" w:cstheme="minorEastAsia"/>
          <w:color w:val="auto"/>
          <w:szCs w:val="21"/>
          <w:lang w:eastAsia="zh-CN"/>
        </w:rPr>
        <w:t>，甲方使用系统</w:t>
      </w:r>
      <w:r>
        <w:rPr>
          <w:rFonts w:hint="eastAsia" w:asciiTheme="minorEastAsia" w:hAnsiTheme="minorEastAsia" w:cstheme="minorEastAsia"/>
          <w:color w:val="auto"/>
          <w:szCs w:val="21"/>
          <w:lang w:val="en-US" w:eastAsia="zh-CN"/>
        </w:rPr>
        <w:t>6个月内运行稳定、无质量问题，</w:t>
      </w:r>
      <w:r>
        <w:rPr>
          <w:rFonts w:hint="eastAsia" w:asciiTheme="minorEastAsia" w:hAnsiTheme="minorEastAsia" w:cstheme="minorEastAsia"/>
          <w:color w:val="auto"/>
          <w:szCs w:val="21"/>
        </w:rPr>
        <w:t>甲方支付合同总价的</w:t>
      </w:r>
      <w:r>
        <w:rPr>
          <w:rFonts w:hint="eastAsia" w:asciiTheme="minorEastAsia" w:hAnsiTheme="minorEastAsia" w:cstheme="minorEastAsia"/>
          <w:color w:val="auto"/>
          <w:szCs w:val="21"/>
          <w:lang w:val="en-US" w:eastAsia="zh-CN"/>
        </w:rPr>
        <w:t>25</w:t>
      </w:r>
      <w:r>
        <w:rPr>
          <w:rFonts w:hint="eastAsia" w:asciiTheme="minorEastAsia" w:hAnsiTheme="minorEastAsia" w:cstheme="minorEastAsia"/>
          <w:color w:val="auto"/>
          <w:szCs w:val="21"/>
        </w:rPr>
        <w:t>%</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质保期满（验收合格之日起</w:t>
      </w:r>
      <w:r>
        <w:rPr>
          <w:rFonts w:hint="eastAsia" w:asciiTheme="minorEastAsia" w:hAnsiTheme="minorEastAsia" w:cstheme="minorEastAsia"/>
          <w:color w:val="auto"/>
          <w:szCs w:val="21"/>
          <w:lang w:eastAsia="zh-CN"/>
        </w:rPr>
        <w:t>叁</w:t>
      </w:r>
      <w:r>
        <w:rPr>
          <w:rFonts w:hint="eastAsia" w:asciiTheme="minorEastAsia" w:hAnsiTheme="minorEastAsia" w:cstheme="minorEastAsia"/>
          <w:color w:val="auto"/>
          <w:szCs w:val="21"/>
        </w:rPr>
        <w:t>年内），无质量问题，甲方付清合同总价的</w:t>
      </w:r>
      <w:r>
        <w:rPr>
          <w:rFonts w:hint="eastAsia" w:asciiTheme="minorEastAsia" w:hAnsiTheme="minorEastAsia" w:cstheme="minorEastAsia"/>
          <w:color w:val="auto"/>
          <w:szCs w:val="21"/>
          <w:lang w:val="en-US" w:eastAsia="zh-CN"/>
        </w:rPr>
        <w:t>5</w:t>
      </w:r>
      <w:r>
        <w:rPr>
          <w:rFonts w:hint="eastAsia" w:asciiTheme="minorEastAsia" w:hAnsiTheme="minorEastAsia" w:cstheme="minorEastAsia"/>
          <w:color w:val="auto"/>
          <w:szCs w:val="21"/>
        </w:rPr>
        <w:t xml:space="preserve">%余款。  </w:t>
      </w:r>
      <w:r>
        <w:rPr>
          <w:rFonts w:hint="eastAsia" w:asciiTheme="minorEastAsia" w:hAnsiTheme="minorEastAsia" w:cstheme="minorEastAsia"/>
          <w:color w:val="FF0000"/>
          <w:szCs w:val="21"/>
        </w:rPr>
        <w:t xml:space="preserve">   </w:t>
      </w:r>
    </w:p>
    <w:p>
      <w:pPr>
        <w:pStyle w:val="15"/>
        <w:numPr>
          <w:ilvl w:val="0"/>
          <w:numId w:val="9"/>
        </w:numPr>
        <w:snapToGrid w:val="0"/>
        <w:spacing w:line="360" w:lineRule="auto"/>
        <w:ind w:left="315" w:leftChars="150" w:firstLine="105" w:firstLineChars="50"/>
        <w:rPr>
          <w:rFonts w:asciiTheme="minorEastAsia" w:hAnsiTheme="minorEastAsia" w:cstheme="minorEastAsia"/>
          <w:b/>
          <w:bCs/>
          <w:color w:val="auto"/>
          <w:sz w:val="21"/>
        </w:rPr>
      </w:pPr>
      <w:r>
        <w:rPr>
          <w:rFonts w:hint="eastAsia" w:asciiTheme="minorEastAsia" w:hAnsiTheme="minorEastAsia" w:cstheme="minorEastAsia"/>
          <w:b/>
          <w:bCs/>
          <w:color w:val="auto"/>
          <w:sz w:val="21"/>
        </w:rPr>
        <w:t>税费</w:t>
      </w:r>
    </w:p>
    <w:p>
      <w:pPr>
        <w:pStyle w:val="15"/>
        <w:snapToGrid w:val="0"/>
        <w:spacing w:line="360" w:lineRule="auto"/>
        <w:rPr>
          <w:rFonts w:asciiTheme="minorEastAsia" w:hAnsiTheme="minorEastAsia" w:cstheme="minorEastAsia"/>
          <w:b/>
          <w:bCs/>
          <w:color w:val="auto"/>
          <w:sz w:val="21"/>
        </w:rPr>
      </w:pPr>
      <w:r>
        <w:rPr>
          <w:rFonts w:hint="eastAsia" w:asciiTheme="minorEastAsia" w:hAnsiTheme="minorEastAsia" w:cstheme="minorEastAsia"/>
          <w:color w:val="auto"/>
          <w:sz w:val="21"/>
        </w:rPr>
        <w:t>本合同执行中相关的一切税费均由乙方负担。</w:t>
      </w:r>
    </w:p>
    <w:p>
      <w:pPr>
        <w:pStyle w:val="15"/>
        <w:snapToGrid w:val="0"/>
        <w:spacing w:line="360" w:lineRule="auto"/>
        <w:ind w:left="315" w:leftChars="150" w:firstLine="105" w:firstLineChars="50"/>
        <w:rPr>
          <w:rFonts w:asciiTheme="minorEastAsia" w:hAnsiTheme="minorEastAsia" w:cstheme="minorEastAsia"/>
          <w:b/>
          <w:bCs/>
          <w:color w:val="auto"/>
          <w:sz w:val="21"/>
        </w:rPr>
      </w:pPr>
      <w:r>
        <w:rPr>
          <w:rFonts w:hint="eastAsia" w:asciiTheme="minorEastAsia" w:hAnsiTheme="minorEastAsia" w:cstheme="minorEastAsia"/>
          <w:b/>
          <w:bCs/>
          <w:color w:val="auto"/>
          <w:sz w:val="21"/>
        </w:rPr>
        <w:t>12、质量保证及售后服务</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12.1 乙方应按招标文件规定及响应文件承诺的货物性能、技术要求、质量标准向甲方提供未经使用的全新产品；若技术性能无特殊说明，则按国家有关部门最新颁布的标准及规范为准。</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12.2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12.3 乙方提供的货物在质保期内因货物本身的质量问题发生故障，乙方应负责免费更换。对达不到技术要求者，根据实际情况，经双方协商，可按以下办法处理：</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⑴更换：由乙方承担所发生的全部费用。</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⑵</w:t>
      </w:r>
      <w:r>
        <w:rPr>
          <w:rFonts w:hint="eastAsia" w:asciiTheme="minorEastAsia" w:hAnsiTheme="minorEastAsia" w:cstheme="minorEastAsia"/>
          <w:color w:val="auto"/>
          <w:szCs w:val="21"/>
          <w:highlight w:val="none"/>
        </w:rPr>
        <w:t>贬值处理</w:t>
      </w:r>
      <w:r>
        <w:rPr>
          <w:rFonts w:hint="eastAsia" w:asciiTheme="minorEastAsia" w:hAnsiTheme="minorEastAsia" w:cstheme="minorEastAsia"/>
          <w:color w:val="auto"/>
          <w:szCs w:val="21"/>
        </w:rPr>
        <w:t>：由甲乙双方合议定价。</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⑶退货处理：乙方应退还甲方支付的合同款，同时应承担该货物的直接费用（运输、保险、检验、货款利息及银行手续费等）。</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12.4 如在使用过程中发生质量问题，乙方在接到甲方通知后在</w:t>
      </w:r>
      <w:r>
        <w:rPr>
          <w:rFonts w:hint="eastAsia" w:asciiTheme="minorEastAsia" w:hAnsiTheme="minorEastAsia" w:cstheme="minorEastAsia"/>
          <w:color w:val="auto"/>
          <w:szCs w:val="21"/>
          <w:u w:val="single"/>
          <w:lang w:val="en-US" w:eastAsia="zh-CN"/>
        </w:rPr>
        <w:t xml:space="preserve"> 1 </w:t>
      </w:r>
      <w:r>
        <w:rPr>
          <w:rFonts w:hint="eastAsia" w:asciiTheme="minorEastAsia" w:hAnsiTheme="minorEastAsia" w:cstheme="minorEastAsia"/>
          <w:color w:val="auto"/>
          <w:szCs w:val="21"/>
        </w:rPr>
        <w:t>小时内到达甲方现场。</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12.5 在质保期内，乙方应对货物出现的质量及安全问题负责处理解决并承担一切费用。</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12.6上述的货物免费保修期为</w:t>
      </w:r>
      <w:r>
        <w:rPr>
          <w:rFonts w:hint="eastAsia" w:asciiTheme="minorEastAsia" w:hAnsiTheme="minorEastAsia" w:cstheme="minorEastAsia"/>
          <w:color w:val="auto"/>
          <w:szCs w:val="21"/>
          <w:u w:val="single"/>
        </w:rPr>
        <w:t xml:space="preserve">  叁  </w:t>
      </w:r>
      <w:r>
        <w:rPr>
          <w:rFonts w:hint="eastAsia" w:asciiTheme="minorEastAsia" w:hAnsiTheme="minorEastAsia" w:cstheme="minorEastAsia"/>
          <w:color w:val="auto"/>
          <w:szCs w:val="21"/>
        </w:rPr>
        <w:t>年，因人为因素出现的故障不在免费保修范围内。超过保修期的机器设备，终生维修，维修时只收部件成本费。</w:t>
      </w:r>
    </w:p>
    <w:p>
      <w:pPr>
        <w:pStyle w:val="15"/>
        <w:snapToGrid w:val="0"/>
        <w:spacing w:line="360" w:lineRule="auto"/>
        <w:ind w:left="315" w:leftChars="150" w:firstLine="105" w:firstLineChars="50"/>
        <w:rPr>
          <w:rFonts w:asciiTheme="minorEastAsia" w:hAnsiTheme="minorEastAsia" w:cstheme="minorEastAsia"/>
          <w:b/>
          <w:bCs/>
          <w:color w:val="auto"/>
          <w:sz w:val="21"/>
        </w:rPr>
      </w:pPr>
      <w:r>
        <w:rPr>
          <w:rFonts w:hint="eastAsia" w:asciiTheme="minorEastAsia" w:hAnsiTheme="minorEastAsia" w:cstheme="minorEastAsia"/>
          <w:b/>
          <w:bCs/>
          <w:color w:val="auto"/>
          <w:sz w:val="21"/>
        </w:rPr>
        <w:t>13、交货、调试和验收</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13.1乙方应当在合同生效后</w:t>
      </w:r>
      <w:r>
        <w:rPr>
          <w:rFonts w:hint="eastAsia" w:asciiTheme="minorEastAsia" w:hAnsiTheme="minorEastAsia" w:cstheme="minorEastAsia"/>
          <w:color w:val="auto"/>
          <w:szCs w:val="21"/>
          <w:u w:val="single"/>
        </w:rPr>
        <w:t xml:space="preserve"> </w:t>
      </w:r>
      <w:r>
        <w:rPr>
          <w:rFonts w:hint="eastAsia" w:asciiTheme="minorEastAsia" w:hAnsiTheme="minorEastAsia" w:cstheme="minorEastAsia"/>
          <w:color w:val="auto"/>
          <w:szCs w:val="21"/>
          <w:u w:val="single"/>
          <w:lang w:val="en-US" w:eastAsia="zh-CN"/>
        </w:rPr>
        <w:t>45</w:t>
      </w:r>
      <w:r>
        <w:rPr>
          <w:rFonts w:hint="eastAsia" w:asciiTheme="minorEastAsia" w:hAnsiTheme="minorEastAsia" w:cstheme="minorEastAsia"/>
          <w:color w:val="auto"/>
          <w:szCs w:val="21"/>
          <w:u w:val="single"/>
        </w:rPr>
        <w:t xml:space="preserve"> </w:t>
      </w:r>
      <w:r>
        <w:rPr>
          <w:rFonts w:hint="eastAsia" w:asciiTheme="minorEastAsia" w:hAnsiTheme="minorEastAsia" w:cstheme="minorEastAsia"/>
          <w:color w:val="auto"/>
          <w:szCs w:val="21"/>
        </w:rPr>
        <w:t>个</w:t>
      </w:r>
      <w:r>
        <w:rPr>
          <w:rFonts w:hint="eastAsia" w:asciiTheme="minorEastAsia" w:hAnsiTheme="minorEastAsia" w:cstheme="minorEastAsia"/>
          <w:color w:val="auto"/>
          <w:szCs w:val="21"/>
          <w:lang w:eastAsia="zh-CN"/>
        </w:rPr>
        <w:t>自然</w:t>
      </w:r>
      <w:r>
        <w:rPr>
          <w:rFonts w:hint="eastAsia" w:asciiTheme="minorEastAsia" w:hAnsiTheme="minorEastAsia" w:cstheme="minorEastAsia"/>
          <w:color w:val="auto"/>
          <w:szCs w:val="21"/>
        </w:rPr>
        <w:t>日内将货物交付甲方，地点由甲方指定，招标文件有约定的，从其约定。在发货前，乙方应对产品作出全面检查和对验收文件进行整理，并列出清单，作为甲方收货初验收和使用的技术条件依据，检验的结果应随货物交甲方。</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13.2 货到甲方指定地点，上架安装完成后，甲乙双方须在</w:t>
      </w:r>
      <w:r>
        <w:rPr>
          <w:rFonts w:hint="eastAsia" w:asciiTheme="minorEastAsia" w:hAnsiTheme="minorEastAsia" w:cstheme="minorEastAsia"/>
          <w:color w:val="auto"/>
          <w:szCs w:val="21"/>
          <w:u w:val="single"/>
        </w:rPr>
        <w:t xml:space="preserve"> 10 </w:t>
      </w:r>
      <w:r>
        <w:rPr>
          <w:rFonts w:hint="eastAsia" w:asciiTheme="minorEastAsia" w:hAnsiTheme="minorEastAsia" w:cstheme="minorEastAsia"/>
          <w:color w:val="auto"/>
          <w:szCs w:val="21"/>
        </w:rPr>
        <w:t>工作日内初验收，甲方对乙方提交的货物依据招标文件上的技术规格要求和国家有关质量标准进行现场初步验收，外观、说明书、包装符合招标文件技术要求的，给予签收，初步验收不合格的不予签收。</w:t>
      </w:r>
    </w:p>
    <w:p>
      <w:pPr>
        <w:pStyle w:val="15"/>
        <w:snapToGrid w:val="0"/>
        <w:spacing w:line="360" w:lineRule="auto"/>
        <w:rPr>
          <w:rFonts w:asciiTheme="minorEastAsia" w:hAnsiTheme="minorEastAsia" w:cstheme="minorEastAsia"/>
          <w:color w:val="auto"/>
          <w:sz w:val="21"/>
        </w:rPr>
      </w:pPr>
      <w:r>
        <w:rPr>
          <w:rFonts w:hint="eastAsia" w:asciiTheme="minorEastAsia" w:hAnsiTheme="minorEastAsia" w:cstheme="minorEastAsia"/>
          <w:color w:val="auto"/>
          <w:sz w:val="21"/>
        </w:rPr>
        <w:t>13.3 乙方按照招标文件要求负责产品安装并培训甲方的使用操作人员，乙方在甲方使用前进行调试，调试直到符合技术要求的甲方才做最终验收。</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13.4 对技术复杂的货物，甲方可请国家认可的专业检测机构参与初步验收及最终验收，并由其出具质量检测报告。验收时乙方必须在现场，验收完毕后作出验收结果报告；若聘请第三方中立机构验收，验收费用由甲乙双方协商解决。</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13.5在服务器调试前，需完成备份机制的实施与验证，在备份机制验收完成后才能进行服务器的实施与调试</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13.6乙方除正常保修外需保证甲方系统的完整性及可用性至20</w:t>
      </w:r>
      <w:r>
        <w:rPr>
          <w:rFonts w:hint="eastAsia" w:asciiTheme="minorEastAsia" w:hAnsiTheme="minorEastAsia" w:cstheme="minorEastAsia"/>
          <w:color w:val="auto"/>
          <w:szCs w:val="21"/>
          <w:lang w:val="en-US" w:eastAsia="zh-CN"/>
        </w:rPr>
        <w:t>23</w:t>
      </w:r>
      <w:r>
        <w:rPr>
          <w:rFonts w:hint="eastAsia" w:asciiTheme="minorEastAsia" w:hAnsiTheme="minorEastAsia" w:cstheme="minorEastAsia"/>
          <w:color w:val="auto"/>
          <w:szCs w:val="21"/>
        </w:rPr>
        <w:t>年12月31日。</w:t>
      </w:r>
    </w:p>
    <w:p>
      <w:pPr>
        <w:snapToGrid w:val="0"/>
        <w:spacing w:line="360" w:lineRule="auto"/>
        <w:rPr>
          <w:rFonts w:asciiTheme="minorEastAsia" w:hAnsiTheme="minorEastAsia" w:cstheme="minorEastAsia"/>
          <w:color w:val="auto"/>
          <w:szCs w:val="21"/>
          <w:u w:val="single"/>
        </w:rPr>
      </w:pPr>
      <w:r>
        <w:rPr>
          <w:rFonts w:hint="eastAsia" w:asciiTheme="minorEastAsia" w:hAnsiTheme="minorEastAsia" w:cstheme="minorEastAsia"/>
          <w:color w:val="auto"/>
          <w:szCs w:val="21"/>
        </w:rPr>
        <w:t>13.7 甲乙双方关于调试和验收的其他约定：</w:t>
      </w:r>
      <w:r>
        <w:rPr>
          <w:rFonts w:hint="eastAsia" w:asciiTheme="minorEastAsia" w:hAnsiTheme="minorEastAsia" w:cstheme="minorEastAsia"/>
          <w:color w:val="auto"/>
          <w:szCs w:val="21"/>
          <w:u w:val="single"/>
        </w:rPr>
        <w:t xml:space="preserve">                           </w:t>
      </w:r>
      <w:r>
        <w:rPr>
          <w:rFonts w:hint="eastAsia" w:asciiTheme="minorEastAsia" w:hAnsiTheme="minorEastAsia" w:cstheme="minorEastAsia"/>
          <w:color w:val="auto"/>
          <w:szCs w:val="21"/>
          <w:u w:val="none"/>
        </w:rPr>
        <w:t>。</w:t>
      </w:r>
    </w:p>
    <w:p>
      <w:pPr>
        <w:pStyle w:val="15"/>
        <w:snapToGrid w:val="0"/>
        <w:spacing w:line="360" w:lineRule="auto"/>
        <w:ind w:left="315" w:leftChars="150" w:firstLine="105" w:firstLineChars="50"/>
        <w:rPr>
          <w:rFonts w:asciiTheme="minorEastAsia" w:hAnsiTheme="minorEastAsia" w:cstheme="minorEastAsia"/>
          <w:b/>
          <w:bCs/>
          <w:color w:val="auto"/>
          <w:sz w:val="21"/>
        </w:rPr>
      </w:pPr>
      <w:r>
        <w:rPr>
          <w:rFonts w:hint="eastAsia" w:asciiTheme="minorEastAsia" w:hAnsiTheme="minorEastAsia" w:cstheme="minorEastAsia"/>
          <w:b/>
          <w:bCs/>
          <w:color w:val="auto"/>
          <w:sz w:val="21"/>
        </w:rPr>
        <w:t>14、货物包装、发运及运输</w:t>
      </w:r>
    </w:p>
    <w:p>
      <w:pPr>
        <w:pStyle w:val="15"/>
        <w:snapToGrid w:val="0"/>
        <w:spacing w:line="360" w:lineRule="auto"/>
        <w:rPr>
          <w:rFonts w:asciiTheme="minorEastAsia" w:hAnsiTheme="minorEastAsia" w:cstheme="minorEastAsia"/>
          <w:color w:val="auto"/>
          <w:sz w:val="21"/>
        </w:rPr>
      </w:pPr>
      <w:r>
        <w:rPr>
          <w:rFonts w:hint="eastAsia" w:asciiTheme="minorEastAsia" w:hAnsiTheme="minorEastAsia" w:cstheme="minorEastAsia"/>
          <w:color w:val="auto"/>
          <w:sz w:val="21"/>
        </w:rPr>
        <w:t>14.1 乙方应在货物发运前对其进行满足运输距离、防潮、防震、防锈和防破损装卸等要求包装，以保证货物安全运达甲方指定地点。</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14.2 乙方发货时，产品使用说明书、检验证明书、随配附件和工具以及清单一并附于货物内。</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14.3 乙方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14.4 货物在交付甲方前发生</w:t>
      </w:r>
      <w:r>
        <w:rPr>
          <w:rFonts w:hint="eastAsia" w:asciiTheme="minorEastAsia" w:hAnsiTheme="minorEastAsia" w:cstheme="minorEastAsia"/>
          <w:color w:val="auto"/>
          <w:szCs w:val="21"/>
          <w:highlight w:val="none"/>
        </w:rPr>
        <w:t>的风险</w:t>
      </w:r>
      <w:r>
        <w:rPr>
          <w:rFonts w:hint="eastAsia" w:asciiTheme="minorEastAsia" w:hAnsiTheme="minorEastAsia" w:cstheme="minorEastAsia"/>
          <w:color w:val="auto"/>
          <w:szCs w:val="21"/>
        </w:rPr>
        <w:t>均由乙方负责。</w:t>
      </w:r>
    </w:p>
    <w:p>
      <w:pPr>
        <w:pStyle w:val="15"/>
        <w:snapToGrid w:val="0"/>
        <w:spacing w:line="360" w:lineRule="auto"/>
        <w:rPr>
          <w:rFonts w:asciiTheme="minorEastAsia" w:hAnsiTheme="minorEastAsia" w:cstheme="minorEastAsia"/>
          <w:color w:val="auto"/>
          <w:sz w:val="21"/>
        </w:rPr>
      </w:pPr>
      <w:r>
        <w:rPr>
          <w:rFonts w:hint="eastAsia" w:asciiTheme="minorEastAsia" w:hAnsiTheme="minorEastAsia" w:cstheme="minorEastAsia"/>
          <w:color w:val="auto"/>
          <w:sz w:val="21"/>
        </w:rPr>
        <w:t>14.5 货物在规定的交付期限内由乙方送达甲方指定的地点，经初步验收即视为货物交付。</w:t>
      </w:r>
    </w:p>
    <w:p>
      <w:pPr>
        <w:pStyle w:val="15"/>
        <w:snapToGrid w:val="0"/>
        <w:spacing w:line="360" w:lineRule="auto"/>
        <w:ind w:left="315" w:leftChars="150" w:firstLine="105" w:firstLineChars="50"/>
        <w:rPr>
          <w:rFonts w:asciiTheme="minorEastAsia" w:hAnsiTheme="minorEastAsia" w:cstheme="minorEastAsia"/>
          <w:b/>
          <w:bCs/>
          <w:color w:val="auto"/>
          <w:sz w:val="21"/>
        </w:rPr>
      </w:pPr>
      <w:r>
        <w:rPr>
          <w:rFonts w:hint="eastAsia" w:asciiTheme="minorEastAsia" w:hAnsiTheme="minorEastAsia" w:cstheme="minorEastAsia"/>
          <w:b/>
          <w:bCs/>
          <w:color w:val="auto"/>
          <w:sz w:val="21"/>
        </w:rPr>
        <w:t>15、违约责任</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15.1 甲方无正当理由拒绝初验收和终验收货物的，甲方应按未付货款金额每日万分之五向乙方支付违约金。</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15.2 甲方无故逾期验收和无故逾期办理货款支付手续的,甲方应按逾期付款金额每日万分之五向乙方支付违约金。</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15.3乙方违约，在消除违约情形前，应按货款总额每日万分之五向甲方支付违约金，甲方可以从待付货款中扣除。</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15.4乙方因逾期交货或因其他违约行为，导致甲方解除合同的，乙方应向甲方支付合同总值5%的违约金，如造成甲方损失超过违约金的，超出部分由乙方继续承担赔偿责任。</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15.5 乙方所交的货物全部或部分品种、型号、规格、技术参数、质量不符合合同规定及招标文件规定标准的，乙方更换货物但逾期交货的（甲方拒绝接受的除外），按乙方逾期交货处理；乙方拒绝更换货物的，甲方可选择解除本合同或本合同的一部分，并可追究乙方的其他违约责任。</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15.6合同生效后，发现乙方投标属虚假承诺，或经权威部门监测提供的货物不能满足招标文件要求，造成合同无法继续履行的，乙方应</w:t>
      </w:r>
      <w:r>
        <w:rPr>
          <w:rFonts w:hint="eastAsia" w:asciiTheme="minorEastAsia" w:hAnsiTheme="minorEastAsia" w:cstheme="minorEastAsia"/>
          <w:color w:val="auto"/>
          <w:szCs w:val="21"/>
          <w:lang w:eastAsia="zh-CN"/>
        </w:rPr>
        <w:t>赔偿</w:t>
      </w:r>
      <w:r>
        <w:rPr>
          <w:rFonts w:hint="eastAsia" w:asciiTheme="minorEastAsia" w:hAnsiTheme="minorEastAsia" w:cstheme="minorEastAsia"/>
          <w:color w:val="auto"/>
          <w:szCs w:val="21"/>
        </w:rPr>
        <w:t>甲方</w:t>
      </w:r>
      <w:r>
        <w:rPr>
          <w:rFonts w:hint="eastAsia" w:asciiTheme="minorEastAsia" w:hAnsiTheme="minorEastAsia" w:cstheme="minorEastAsia"/>
          <w:color w:val="auto"/>
          <w:szCs w:val="21"/>
          <w:lang w:eastAsia="zh-CN"/>
        </w:rPr>
        <w:t>造成的所有损失。</w:t>
      </w:r>
    </w:p>
    <w:p>
      <w:pPr>
        <w:pStyle w:val="15"/>
        <w:snapToGrid w:val="0"/>
        <w:spacing w:line="360" w:lineRule="auto"/>
        <w:ind w:left="315" w:leftChars="150" w:firstLine="105" w:firstLineChars="50"/>
        <w:rPr>
          <w:rFonts w:asciiTheme="minorEastAsia" w:hAnsiTheme="minorEastAsia" w:cstheme="minorEastAsia"/>
          <w:b/>
          <w:bCs/>
          <w:color w:val="auto"/>
          <w:sz w:val="21"/>
        </w:rPr>
      </w:pPr>
      <w:r>
        <w:rPr>
          <w:rFonts w:hint="eastAsia" w:asciiTheme="minorEastAsia" w:hAnsiTheme="minorEastAsia" w:cstheme="minorEastAsia"/>
          <w:b/>
          <w:bCs/>
          <w:color w:val="auto"/>
          <w:sz w:val="21"/>
        </w:rPr>
        <w:t>16、不可抗力事件处理</w:t>
      </w:r>
    </w:p>
    <w:p>
      <w:pPr>
        <w:pStyle w:val="15"/>
        <w:snapToGrid w:val="0"/>
        <w:spacing w:line="360" w:lineRule="auto"/>
        <w:rPr>
          <w:rFonts w:asciiTheme="minorEastAsia" w:hAnsiTheme="minorEastAsia" w:cstheme="minorEastAsia"/>
          <w:color w:val="auto"/>
          <w:sz w:val="21"/>
        </w:rPr>
      </w:pPr>
      <w:r>
        <w:rPr>
          <w:rFonts w:hint="eastAsia" w:asciiTheme="minorEastAsia" w:hAnsiTheme="minorEastAsia" w:cstheme="minorEastAsia"/>
          <w:color w:val="auto"/>
          <w:sz w:val="21"/>
        </w:rPr>
        <w:t>16.1 在合同有效期内，甲乙双方因不可抗力事件导致不能履行合同，则合同履行期可延长，其延长期与不可抗力影响期相同。不可抗力，是指不能预见、不能避免且不能克服的客观情况，例如战争、严重的地震、洪水等</w:t>
      </w:r>
      <w:r>
        <w:rPr>
          <w:rFonts w:hint="eastAsia" w:ascii="宋体" w:hAnsi="宋体"/>
          <w:color w:val="0000FF"/>
          <w:sz w:val="21"/>
          <w:lang w:eastAsia="zh-CN"/>
        </w:rPr>
        <w:t>（</w:t>
      </w:r>
      <w:r>
        <w:rPr>
          <w:rFonts w:hint="eastAsia" w:ascii="宋体" w:hAnsi="宋体"/>
          <w:b/>
          <w:bCs/>
          <w:color w:val="0000FF"/>
          <w:sz w:val="21"/>
          <w:u w:val="single"/>
        </w:rPr>
        <w:t>因新冠肺炎疫情防控造成的损失和费用增加，适用合同不可抗力相关条款规定</w:t>
      </w:r>
      <w:r>
        <w:rPr>
          <w:rFonts w:hint="eastAsia" w:ascii="宋体" w:hAnsi="宋体"/>
          <w:color w:val="0000FF"/>
          <w:sz w:val="21"/>
          <w:lang w:eastAsia="zh-CN"/>
        </w:rPr>
        <w:t>）</w:t>
      </w:r>
      <w:r>
        <w:rPr>
          <w:rFonts w:hint="eastAsia" w:asciiTheme="minorEastAsia" w:hAnsiTheme="minorEastAsia" w:cstheme="minorEastAsia"/>
          <w:color w:val="auto"/>
          <w:sz w:val="21"/>
        </w:rPr>
        <w:t>，但一方违约或疏忽导致合同不能</w:t>
      </w:r>
      <w:r>
        <w:rPr>
          <w:rFonts w:hint="eastAsia" w:asciiTheme="minorEastAsia" w:hAnsiTheme="minorEastAsia" w:cstheme="minorEastAsia"/>
          <w:color w:val="auto"/>
          <w:sz w:val="21"/>
          <w:highlight w:val="none"/>
        </w:rPr>
        <w:t>履行的不</w:t>
      </w:r>
      <w:r>
        <w:rPr>
          <w:rFonts w:hint="eastAsia" w:asciiTheme="minorEastAsia" w:hAnsiTheme="minorEastAsia" w:cstheme="minorEastAsia"/>
          <w:color w:val="auto"/>
          <w:sz w:val="21"/>
        </w:rPr>
        <w:t>属于不可抗力因素。</w:t>
      </w:r>
    </w:p>
    <w:p>
      <w:pPr>
        <w:pStyle w:val="15"/>
        <w:snapToGrid w:val="0"/>
        <w:spacing w:line="360" w:lineRule="auto"/>
        <w:rPr>
          <w:rFonts w:asciiTheme="minorEastAsia" w:hAnsiTheme="minorEastAsia" w:cstheme="minorEastAsia"/>
          <w:color w:val="auto"/>
          <w:sz w:val="21"/>
        </w:rPr>
      </w:pPr>
      <w:r>
        <w:rPr>
          <w:rFonts w:hint="eastAsia" w:asciiTheme="minorEastAsia" w:hAnsiTheme="minorEastAsia" w:cstheme="minorEastAsia"/>
          <w:color w:val="auto"/>
          <w:sz w:val="21"/>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5"/>
        <w:snapToGrid w:val="0"/>
        <w:spacing w:line="360" w:lineRule="auto"/>
        <w:ind w:left="315" w:leftChars="150" w:firstLine="105" w:firstLineChars="50"/>
        <w:rPr>
          <w:rFonts w:asciiTheme="minorEastAsia" w:hAnsiTheme="minorEastAsia" w:cstheme="minorEastAsia"/>
          <w:b/>
          <w:bCs/>
          <w:color w:val="auto"/>
          <w:sz w:val="21"/>
        </w:rPr>
      </w:pPr>
      <w:r>
        <w:rPr>
          <w:rFonts w:hint="eastAsia" w:asciiTheme="minorEastAsia" w:hAnsiTheme="minorEastAsia" w:cstheme="minorEastAsia"/>
          <w:b/>
          <w:bCs/>
          <w:color w:val="auto"/>
          <w:sz w:val="21"/>
        </w:rPr>
        <w:t>17、争议解决</w:t>
      </w:r>
    </w:p>
    <w:p>
      <w:pPr>
        <w:pStyle w:val="15"/>
        <w:snapToGrid w:val="0"/>
        <w:spacing w:line="360" w:lineRule="auto"/>
        <w:rPr>
          <w:rFonts w:asciiTheme="minorEastAsia" w:hAnsiTheme="minorEastAsia" w:cstheme="minorEastAsia"/>
          <w:color w:val="auto"/>
          <w:sz w:val="21"/>
        </w:rPr>
      </w:pPr>
      <w:r>
        <w:rPr>
          <w:rFonts w:hint="eastAsia" w:asciiTheme="minorEastAsia" w:hAnsiTheme="minorEastAsia" w:cstheme="minorEastAsia"/>
          <w:color w:val="auto"/>
          <w:sz w:val="21"/>
        </w:rPr>
        <w:t>17.1 因货物的质量问题发生争议的，可在国家认可的质量检测机构对货物质量进行鉴定。货物符合标准的，鉴定费由甲方承担；货物不符合质量标准的，鉴定费由乙方承担。</w:t>
      </w:r>
    </w:p>
    <w:p>
      <w:pPr>
        <w:pStyle w:val="15"/>
        <w:snapToGrid w:val="0"/>
        <w:spacing w:line="360" w:lineRule="auto"/>
        <w:rPr>
          <w:rFonts w:asciiTheme="minorEastAsia" w:hAnsiTheme="minorEastAsia" w:cstheme="minorEastAsia"/>
          <w:color w:val="auto"/>
          <w:sz w:val="21"/>
        </w:rPr>
      </w:pPr>
      <w:r>
        <w:rPr>
          <w:rFonts w:hint="eastAsia" w:asciiTheme="minorEastAsia" w:hAnsiTheme="minorEastAsia" w:cstheme="minorEastAsia"/>
          <w:color w:val="auto"/>
          <w:sz w:val="21"/>
        </w:rPr>
        <w:t>17.2 因履行本合同引起的或与本合同有关的争议，甲、乙双方应首先通过友好协商解决；如果协商不能解决争议，甲乙双方同意采取下列两种方式</w:t>
      </w:r>
      <w:r>
        <w:rPr>
          <w:rFonts w:hint="eastAsia" w:asciiTheme="minorEastAsia" w:hAnsiTheme="minorEastAsia" w:cstheme="minorEastAsia"/>
          <w:color w:val="auto"/>
          <w:sz w:val="21"/>
          <w:highlight w:val="none"/>
        </w:rPr>
        <w:t>的第</w:t>
      </w:r>
      <w:r>
        <w:rPr>
          <w:rFonts w:hint="eastAsia" w:asciiTheme="minorEastAsia" w:hAnsiTheme="minorEastAsia" w:cstheme="minorEastAsia"/>
          <w:color w:val="auto"/>
          <w:sz w:val="21"/>
        </w:rPr>
        <w:t>（1）</w:t>
      </w:r>
      <w:r>
        <w:rPr>
          <w:rFonts w:hint="eastAsia" w:asciiTheme="minorEastAsia" w:hAnsiTheme="minorEastAsia" w:cstheme="minorEastAsia"/>
          <w:color w:val="auto"/>
          <w:sz w:val="21"/>
          <w:highlight w:val="none"/>
        </w:rPr>
        <w:t>种方式</w:t>
      </w:r>
      <w:r>
        <w:rPr>
          <w:rFonts w:hint="eastAsia" w:asciiTheme="minorEastAsia" w:hAnsiTheme="minorEastAsia" w:cstheme="minorEastAsia"/>
          <w:color w:val="auto"/>
          <w:sz w:val="21"/>
        </w:rPr>
        <w:t>解决争议：</w:t>
      </w:r>
    </w:p>
    <w:p>
      <w:pPr>
        <w:pStyle w:val="15"/>
        <w:snapToGrid w:val="0"/>
        <w:spacing w:line="360" w:lineRule="auto"/>
        <w:ind w:firstLine="315" w:firstLineChars="150"/>
        <w:rPr>
          <w:rFonts w:asciiTheme="minorEastAsia" w:hAnsiTheme="minorEastAsia" w:cstheme="minorEastAsia"/>
          <w:color w:val="auto"/>
          <w:sz w:val="21"/>
        </w:rPr>
      </w:pPr>
      <w:r>
        <w:rPr>
          <w:rFonts w:hint="eastAsia" w:asciiTheme="minorEastAsia" w:hAnsiTheme="minorEastAsia" w:cstheme="minorEastAsia"/>
          <w:color w:val="auto"/>
          <w:sz w:val="21"/>
        </w:rPr>
        <w:t>（1）向甲方所在地有管辖权的人民法院提起诉讼，适用中华人民共和国法律；</w:t>
      </w:r>
    </w:p>
    <w:p>
      <w:pPr>
        <w:pStyle w:val="15"/>
        <w:snapToGrid w:val="0"/>
        <w:spacing w:line="360" w:lineRule="auto"/>
        <w:ind w:left="420" w:leftChars="150" w:hanging="105" w:hangingChars="50"/>
        <w:rPr>
          <w:rFonts w:asciiTheme="minorEastAsia" w:hAnsiTheme="minorEastAsia" w:cstheme="minorEastAsia"/>
          <w:color w:val="auto"/>
          <w:sz w:val="21"/>
        </w:rPr>
      </w:pPr>
      <w:r>
        <w:rPr>
          <w:rFonts w:hint="eastAsia" w:asciiTheme="minorEastAsia" w:hAnsiTheme="minorEastAsia" w:cstheme="minorEastAsia"/>
          <w:color w:val="auto"/>
          <w:sz w:val="21"/>
        </w:rPr>
        <w:t>（2）向扬州仲裁委员会按其仲裁规则申请仲裁。</w:t>
      </w:r>
    </w:p>
    <w:p>
      <w:pPr>
        <w:pStyle w:val="15"/>
        <w:snapToGrid w:val="0"/>
        <w:spacing w:line="360" w:lineRule="auto"/>
        <w:rPr>
          <w:rFonts w:asciiTheme="minorEastAsia" w:hAnsiTheme="minorEastAsia" w:cstheme="minorEastAsia"/>
          <w:color w:val="auto"/>
          <w:sz w:val="21"/>
        </w:rPr>
      </w:pPr>
      <w:r>
        <w:rPr>
          <w:rFonts w:hint="eastAsia" w:asciiTheme="minorEastAsia" w:hAnsiTheme="minorEastAsia" w:cstheme="minorEastAsia"/>
          <w:color w:val="auto"/>
          <w:sz w:val="21"/>
        </w:rPr>
        <w:t>17.3 若甲乙双方任何一方都没有选择解除合同的，为避免扩大损失，在诉讼或仲裁期间，双方应继续履行。</w:t>
      </w:r>
    </w:p>
    <w:p>
      <w:pPr>
        <w:pStyle w:val="15"/>
        <w:snapToGrid w:val="0"/>
        <w:spacing w:line="360" w:lineRule="auto"/>
        <w:ind w:left="315" w:leftChars="150" w:firstLine="105" w:firstLineChars="50"/>
        <w:rPr>
          <w:rFonts w:asciiTheme="minorEastAsia" w:hAnsiTheme="minorEastAsia" w:cstheme="minorEastAsia"/>
          <w:b/>
          <w:bCs/>
          <w:color w:val="auto"/>
          <w:sz w:val="21"/>
        </w:rPr>
      </w:pPr>
      <w:r>
        <w:rPr>
          <w:rFonts w:hint="eastAsia" w:asciiTheme="minorEastAsia" w:hAnsiTheme="minorEastAsia" w:cstheme="minorEastAsia"/>
          <w:b/>
          <w:bCs/>
          <w:color w:val="auto"/>
          <w:sz w:val="21"/>
        </w:rPr>
        <w:t>18、合同</w:t>
      </w:r>
      <w:r>
        <w:rPr>
          <w:rFonts w:hint="eastAsia" w:asciiTheme="minorEastAsia" w:hAnsiTheme="minorEastAsia" w:cstheme="minorEastAsia"/>
          <w:b/>
          <w:bCs/>
          <w:color w:val="auto"/>
          <w:sz w:val="21"/>
          <w:highlight w:val="none"/>
        </w:rPr>
        <w:t>其它</w:t>
      </w:r>
    </w:p>
    <w:p>
      <w:pPr>
        <w:pStyle w:val="15"/>
        <w:snapToGrid w:val="0"/>
        <w:spacing w:line="360" w:lineRule="auto"/>
        <w:rPr>
          <w:rFonts w:asciiTheme="minorEastAsia" w:hAnsiTheme="minorEastAsia" w:cstheme="minorEastAsia"/>
          <w:color w:val="auto"/>
          <w:sz w:val="21"/>
        </w:rPr>
      </w:pPr>
      <w:r>
        <w:rPr>
          <w:rFonts w:hint="eastAsia" w:asciiTheme="minorEastAsia" w:hAnsiTheme="minorEastAsia" w:cstheme="minorEastAsia"/>
          <w:color w:val="auto"/>
          <w:sz w:val="21"/>
        </w:rPr>
        <w:t>18.1 乙方应诚实信用，严格按照招标文件要求和投标承诺履行合同，不向甲方进行商业贿赂或者提供不正当利益。</w:t>
      </w:r>
    </w:p>
    <w:p>
      <w:pPr>
        <w:pStyle w:val="15"/>
        <w:snapToGrid w:val="0"/>
        <w:spacing w:line="360" w:lineRule="auto"/>
        <w:rPr>
          <w:rFonts w:asciiTheme="minorEastAsia" w:hAnsiTheme="minorEastAsia" w:cstheme="minorEastAsia"/>
          <w:color w:val="auto"/>
          <w:sz w:val="21"/>
          <w:u w:val="single"/>
        </w:rPr>
      </w:pPr>
      <w:r>
        <w:rPr>
          <w:rFonts w:hint="eastAsia" w:asciiTheme="minorEastAsia" w:hAnsiTheme="minorEastAsia" w:cstheme="minorEastAsia"/>
          <w:color w:val="auto"/>
          <w:sz w:val="21"/>
        </w:rPr>
        <w:t>18.2 合同经双方法定代表人或授权代表签字并加盖单位公章后生效。</w:t>
      </w:r>
    </w:p>
    <w:p>
      <w:pPr>
        <w:pStyle w:val="15"/>
        <w:snapToGrid w:val="0"/>
        <w:spacing w:line="360" w:lineRule="auto"/>
        <w:rPr>
          <w:rFonts w:asciiTheme="minorEastAsia" w:hAnsiTheme="minorEastAsia" w:cstheme="minorEastAsia"/>
          <w:color w:val="auto"/>
          <w:sz w:val="21"/>
          <w:u w:val="single"/>
        </w:rPr>
      </w:pPr>
      <w:r>
        <w:rPr>
          <w:rFonts w:hint="eastAsia" w:asciiTheme="minorEastAsia" w:hAnsiTheme="minorEastAsia" w:cstheme="minorEastAsia"/>
          <w:color w:val="auto"/>
          <w:sz w:val="21"/>
        </w:rPr>
        <w:t>18.2本合同未尽事宜，遵照《合同法》有关条文执行。</w:t>
      </w:r>
    </w:p>
    <w:p>
      <w:pPr>
        <w:pStyle w:val="15"/>
        <w:snapToGrid w:val="0"/>
        <w:spacing w:line="360" w:lineRule="auto"/>
        <w:rPr>
          <w:rFonts w:asciiTheme="minorEastAsia" w:hAnsiTheme="minorEastAsia" w:cstheme="minorEastAsia"/>
          <w:color w:val="auto"/>
          <w:sz w:val="21"/>
        </w:rPr>
      </w:pPr>
      <w:r>
        <w:rPr>
          <w:rFonts w:hint="eastAsia" w:asciiTheme="minorEastAsia" w:hAnsiTheme="minorEastAsia" w:cstheme="minorEastAsia"/>
          <w:color w:val="auto"/>
          <w:sz w:val="21"/>
        </w:rPr>
        <w:t>18.3 本合同正本一式四份，具有同等法律效力，甲方、乙方各执两份。</w:t>
      </w:r>
    </w:p>
    <w:p>
      <w:pPr>
        <w:pStyle w:val="15"/>
        <w:snapToGrid w:val="0"/>
        <w:spacing w:line="360" w:lineRule="auto"/>
        <w:ind w:left="420" w:hanging="420" w:hangingChars="200"/>
        <w:rPr>
          <w:rFonts w:asciiTheme="minorEastAsia" w:hAnsiTheme="minorEastAsia" w:cstheme="minorEastAsia"/>
          <w:color w:val="auto"/>
          <w:sz w:val="21"/>
        </w:rPr>
      </w:pPr>
    </w:p>
    <w:p>
      <w:pPr>
        <w:pStyle w:val="15"/>
        <w:snapToGrid w:val="0"/>
        <w:spacing w:line="360" w:lineRule="auto"/>
        <w:ind w:left="420" w:hanging="420" w:hangingChars="200"/>
        <w:rPr>
          <w:rFonts w:asciiTheme="minorEastAsia" w:hAnsiTheme="minorEastAsia" w:cstheme="minorEastAsia"/>
          <w:color w:val="auto"/>
          <w:sz w:val="21"/>
        </w:rPr>
      </w:pPr>
      <w:r>
        <w:rPr>
          <w:rFonts w:hint="eastAsia" w:asciiTheme="minorEastAsia" w:hAnsiTheme="minorEastAsia" w:cstheme="minorEastAsia"/>
          <w:color w:val="auto"/>
          <w:sz w:val="21"/>
        </w:rPr>
        <w:t xml:space="preserve">  甲方：扬州市民卡有限责任公司                乙方： </w:t>
      </w:r>
    </w:p>
    <w:p>
      <w:pPr>
        <w:pStyle w:val="15"/>
        <w:snapToGrid w:val="0"/>
        <w:spacing w:line="360" w:lineRule="auto"/>
        <w:ind w:firstLine="0" w:firstLineChars="0"/>
        <w:rPr>
          <w:rFonts w:asciiTheme="minorEastAsia" w:hAnsiTheme="minorEastAsia" w:cstheme="minorEastAsia"/>
          <w:color w:val="auto"/>
          <w:sz w:val="21"/>
        </w:rPr>
      </w:pPr>
      <w:r>
        <w:rPr>
          <w:rFonts w:hint="eastAsia" w:asciiTheme="minorEastAsia" w:hAnsiTheme="minorEastAsia" w:cstheme="minorEastAsia"/>
          <w:color w:val="auto"/>
          <w:sz w:val="21"/>
        </w:rPr>
        <w:t xml:space="preserve">  地址：</w:t>
      </w:r>
      <w:r>
        <w:rPr>
          <w:rFonts w:hint="eastAsia" w:asciiTheme="minorEastAsia" w:hAnsiTheme="minorEastAsia" w:cstheme="minorEastAsia"/>
          <w:color w:val="auto"/>
          <w:sz w:val="21"/>
        </w:rPr>
        <w:tab/>
      </w:r>
      <w:r>
        <w:rPr>
          <w:rFonts w:hint="eastAsia" w:asciiTheme="minorEastAsia" w:hAnsiTheme="minorEastAsia" w:cstheme="minorEastAsia"/>
          <w:color w:val="auto"/>
          <w:sz w:val="21"/>
        </w:rPr>
        <w:tab/>
      </w:r>
      <w:r>
        <w:rPr>
          <w:rFonts w:hint="eastAsia" w:asciiTheme="minorEastAsia" w:hAnsiTheme="minorEastAsia" w:cstheme="minorEastAsia"/>
          <w:color w:val="auto"/>
          <w:sz w:val="21"/>
        </w:rPr>
        <w:tab/>
      </w:r>
      <w:r>
        <w:rPr>
          <w:rFonts w:hint="eastAsia" w:asciiTheme="minorEastAsia" w:hAnsiTheme="minorEastAsia" w:cstheme="minorEastAsia"/>
          <w:color w:val="auto"/>
          <w:sz w:val="21"/>
        </w:rPr>
        <w:t xml:space="preserve">                     </w:t>
      </w:r>
      <w:r>
        <w:rPr>
          <w:rFonts w:hint="eastAsia" w:asciiTheme="minorEastAsia" w:hAnsiTheme="minorEastAsia" w:cstheme="minorEastAsia"/>
          <w:color w:val="auto"/>
          <w:sz w:val="21"/>
          <w:lang w:val="en-US" w:eastAsia="zh-CN"/>
        </w:rPr>
        <w:t xml:space="preserve">    </w:t>
      </w:r>
      <w:r>
        <w:rPr>
          <w:rFonts w:hint="eastAsia" w:asciiTheme="minorEastAsia" w:hAnsiTheme="minorEastAsia" w:cstheme="minorEastAsia"/>
          <w:color w:val="auto"/>
          <w:sz w:val="21"/>
        </w:rPr>
        <w:t xml:space="preserve"> 地址： </w:t>
      </w:r>
    </w:p>
    <w:p>
      <w:pPr>
        <w:pStyle w:val="15"/>
        <w:snapToGrid w:val="0"/>
        <w:spacing w:line="360" w:lineRule="auto"/>
        <w:ind w:firstLine="0" w:firstLineChars="0"/>
        <w:rPr>
          <w:rFonts w:asciiTheme="minorEastAsia" w:hAnsiTheme="minorEastAsia" w:cstheme="minorEastAsia"/>
          <w:color w:val="auto"/>
          <w:sz w:val="21"/>
        </w:rPr>
      </w:pPr>
      <w:r>
        <w:rPr>
          <w:rFonts w:hint="eastAsia" w:asciiTheme="minorEastAsia" w:hAnsiTheme="minorEastAsia" w:cstheme="minorEastAsia"/>
          <w:color w:val="auto"/>
          <w:sz w:val="21"/>
        </w:rPr>
        <w:t xml:space="preserve">  法定代表人或授权代表：                      法定代表人或授权代表：</w:t>
      </w:r>
    </w:p>
    <w:p>
      <w:pPr>
        <w:pStyle w:val="15"/>
        <w:snapToGrid w:val="0"/>
        <w:spacing w:line="360" w:lineRule="auto"/>
        <w:ind w:firstLine="0" w:firstLineChars="0"/>
        <w:rPr>
          <w:rFonts w:asciiTheme="minorEastAsia" w:hAnsiTheme="minorEastAsia" w:cstheme="minorEastAsia"/>
          <w:color w:val="auto"/>
          <w:sz w:val="21"/>
        </w:rPr>
      </w:pPr>
      <w:r>
        <w:rPr>
          <w:rFonts w:hint="eastAsia" w:asciiTheme="minorEastAsia" w:hAnsiTheme="minorEastAsia" w:cstheme="minorEastAsia"/>
          <w:color w:val="auto"/>
          <w:sz w:val="21"/>
        </w:rPr>
        <w:t xml:space="preserve">  联系电话：                                  联系电话：</w:t>
      </w:r>
    </w:p>
    <w:p>
      <w:pPr>
        <w:pStyle w:val="15"/>
        <w:snapToGrid w:val="0"/>
        <w:spacing w:line="360" w:lineRule="auto"/>
        <w:ind w:firstLine="210" w:firstLineChars="100"/>
        <w:rPr>
          <w:rFonts w:asciiTheme="minorEastAsia" w:hAnsiTheme="minorEastAsia" w:cstheme="minorEastAsia"/>
          <w:color w:val="auto"/>
          <w:sz w:val="21"/>
        </w:rPr>
      </w:pPr>
      <w:r>
        <w:rPr>
          <w:rFonts w:hint="eastAsia" w:asciiTheme="minorEastAsia" w:hAnsiTheme="minorEastAsia" w:cstheme="minorEastAsia"/>
          <w:color w:val="auto"/>
          <w:sz w:val="21"/>
        </w:rPr>
        <w:t>日期：      年    月    日                  日期：      年    月    日</w:t>
      </w:r>
    </w:p>
    <w:p>
      <w:pPr>
        <w:rPr>
          <w:rFonts w:hint="eastAsia" w:hAnsi="宋体" w:cs="宋体"/>
          <w:color w:val="auto"/>
          <w:sz w:val="21"/>
          <w:szCs w:val="21"/>
          <w:lang w:eastAsia="zh-CN"/>
        </w:rPr>
      </w:pPr>
      <w:r>
        <w:rPr>
          <w:rFonts w:hint="eastAsia" w:hAnsi="宋体" w:cs="宋体"/>
          <w:color w:val="auto"/>
          <w:sz w:val="21"/>
          <w:szCs w:val="21"/>
          <w:lang w:eastAsia="zh-CN"/>
        </w:rPr>
        <w:br w:type="page"/>
      </w:r>
    </w:p>
    <w:p>
      <w:pPr>
        <w:pStyle w:val="40"/>
        <w:snapToGrid w:val="0"/>
        <w:spacing w:line="360" w:lineRule="auto"/>
        <w:ind w:right="-20" w:firstLine="420" w:firstLineChars="200"/>
        <w:rPr>
          <w:rFonts w:hint="eastAsia" w:hAnsi="宋体" w:cs="宋体"/>
          <w:color w:val="auto"/>
          <w:sz w:val="21"/>
          <w:szCs w:val="21"/>
          <w:lang w:eastAsia="zh-CN"/>
        </w:rPr>
      </w:pPr>
    </w:p>
    <w:p>
      <w:pPr>
        <w:pStyle w:val="3"/>
        <w:snapToGrid w:val="0"/>
        <w:spacing w:before="0" w:after="0" w:line="360" w:lineRule="auto"/>
        <w:rPr>
          <w:rFonts w:hint="eastAsia" w:cs="宋体"/>
          <w:color w:val="auto"/>
          <w:kern w:val="0"/>
        </w:rPr>
      </w:pPr>
      <w:bookmarkStart w:id="201" w:name="_Toc47023135"/>
      <w:bookmarkStart w:id="202" w:name="_Toc29496"/>
      <w:bookmarkStart w:id="203" w:name="_Toc17829"/>
      <w:bookmarkStart w:id="204" w:name="_Toc30400"/>
      <w:bookmarkStart w:id="205" w:name="_Toc40699938"/>
      <w:r>
        <w:rPr>
          <w:rFonts w:hint="eastAsia" w:cs="宋体"/>
          <w:color w:val="auto"/>
          <w:kern w:val="0"/>
        </w:rPr>
        <w:t>第</w:t>
      </w:r>
      <w:r>
        <w:rPr>
          <w:rFonts w:hint="eastAsia" w:cs="宋体"/>
          <w:color w:val="auto"/>
          <w:kern w:val="0"/>
          <w:lang w:eastAsia="zh-CN"/>
        </w:rPr>
        <w:t>五</w:t>
      </w:r>
      <w:r>
        <w:rPr>
          <w:rFonts w:hint="eastAsia" w:cs="宋体"/>
          <w:color w:val="auto"/>
          <w:kern w:val="0"/>
        </w:rPr>
        <w:t>章 投标文件格式</w:t>
      </w:r>
      <w:bookmarkEnd w:id="201"/>
      <w:bookmarkEnd w:id="202"/>
      <w:bookmarkEnd w:id="203"/>
      <w:bookmarkEnd w:id="204"/>
      <w:bookmarkEnd w:id="205"/>
    </w:p>
    <w:p>
      <w:pPr>
        <w:pStyle w:val="7"/>
        <w:snapToGrid w:val="0"/>
        <w:spacing w:before="0" w:after="0" w:line="360" w:lineRule="auto"/>
        <w:jc w:val="center"/>
        <w:rPr>
          <w:rFonts w:hint="eastAsia" w:cs="宋体"/>
          <w:color w:val="auto"/>
        </w:rPr>
      </w:pPr>
      <w:bookmarkStart w:id="206" w:name="_Toc12926"/>
      <w:r>
        <w:rPr>
          <w:rFonts w:hint="eastAsia" w:cs="宋体"/>
          <w:color w:val="auto"/>
        </w:rPr>
        <w:t>封面</w:t>
      </w:r>
      <w:bookmarkEnd w:id="206"/>
    </w:p>
    <w:p>
      <w:pPr>
        <w:snapToGrid w:val="0"/>
        <w:spacing w:line="360" w:lineRule="auto"/>
        <w:jc w:val="right"/>
        <w:rPr>
          <w:rFonts w:hint="eastAsia" w:ascii="宋体" w:hAnsi="宋体" w:cs="宋体"/>
          <w:color w:val="auto"/>
          <w:kern w:val="0"/>
        </w:rPr>
      </w:pPr>
      <w:r>
        <w:rPr>
          <w:rFonts w:hint="eastAsia" w:ascii="宋体" w:hAnsi="宋体" w:cs="宋体"/>
          <w:color w:val="auto"/>
          <w:kern w:val="0"/>
        </w:rPr>
        <w:t>正本/副本</w:t>
      </w:r>
    </w:p>
    <w:p>
      <w:pPr>
        <w:snapToGrid w:val="0"/>
        <w:spacing w:line="360" w:lineRule="auto"/>
        <w:rPr>
          <w:rFonts w:hint="eastAsia" w:ascii="宋体" w:hAnsi="宋体" w:cs="宋体"/>
          <w:color w:val="auto"/>
          <w:kern w:val="0"/>
        </w:rPr>
      </w:pPr>
    </w:p>
    <w:p>
      <w:pPr>
        <w:snapToGrid w:val="0"/>
        <w:spacing w:line="360" w:lineRule="auto"/>
        <w:rPr>
          <w:rFonts w:hint="eastAsia" w:ascii="宋体" w:hAnsi="宋体" w:cs="宋体"/>
          <w:color w:val="auto"/>
          <w:kern w:val="0"/>
        </w:rPr>
      </w:pPr>
    </w:p>
    <w:p>
      <w:pPr>
        <w:snapToGrid w:val="0"/>
        <w:spacing w:line="360" w:lineRule="auto"/>
        <w:ind w:firstLine="0" w:firstLineChars="0"/>
        <w:jc w:val="center"/>
        <w:outlineLvl w:val="1"/>
        <w:rPr>
          <w:rFonts w:hint="eastAsia" w:ascii="宋体" w:hAnsi="宋体" w:cs="宋体"/>
          <w:b/>
          <w:color w:val="auto"/>
          <w:kern w:val="0"/>
          <w:sz w:val="36"/>
          <w:szCs w:val="36"/>
        </w:rPr>
      </w:pPr>
      <w:r>
        <w:rPr>
          <w:rFonts w:hint="eastAsia" w:ascii="宋体" w:hAnsi="宋体" w:cs="宋体"/>
          <w:b/>
          <w:color w:val="auto"/>
          <w:kern w:val="0"/>
          <w:sz w:val="36"/>
          <w:szCs w:val="36"/>
        </w:rPr>
        <w:t>扬州市民卡有限责任公司</w:t>
      </w:r>
    </w:p>
    <w:p>
      <w:pPr>
        <w:snapToGrid w:val="0"/>
        <w:spacing w:line="360" w:lineRule="auto"/>
        <w:ind w:firstLine="0" w:firstLineChars="0"/>
        <w:jc w:val="center"/>
        <w:outlineLvl w:val="1"/>
        <w:rPr>
          <w:rFonts w:hint="eastAsia" w:ascii="宋体" w:hAnsi="宋体" w:eastAsia="宋体" w:cs="宋体"/>
          <w:color w:val="auto"/>
          <w:kern w:val="0"/>
          <w:sz w:val="36"/>
          <w:szCs w:val="36"/>
          <w:u w:val="single"/>
          <w:lang w:val="en-US" w:eastAsia="zh-CN"/>
        </w:rPr>
      </w:pPr>
      <w:r>
        <w:rPr>
          <w:rFonts w:hint="eastAsia" w:ascii="宋体" w:hAnsi="宋体" w:cs="宋体"/>
          <w:b/>
          <w:color w:val="auto"/>
          <w:kern w:val="0"/>
          <w:sz w:val="36"/>
          <w:szCs w:val="36"/>
          <w:lang w:eastAsia="zh-CN"/>
        </w:rPr>
        <w:t>智能客服管理系统</w:t>
      </w:r>
    </w:p>
    <w:p>
      <w:pPr>
        <w:snapToGrid w:val="0"/>
        <w:spacing w:line="360" w:lineRule="auto"/>
        <w:rPr>
          <w:rFonts w:hint="eastAsia" w:ascii="宋体" w:hAnsi="宋体" w:cs="宋体"/>
          <w:color w:val="auto"/>
          <w:kern w:val="0"/>
        </w:rPr>
      </w:pPr>
    </w:p>
    <w:p>
      <w:pPr>
        <w:snapToGrid w:val="0"/>
        <w:spacing w:line="360" w:lineRule="auto"/>
        <w:rPr>
          <w:rFonts w:hint="eastAsia" w:ascii="宋体" w:hAnsi="宋体" w:cs="宋体"/>
          <w:color w:val="auto"/>
          <w:kern w:val="0"/>
        </w:rPr>
      </w:pPr>
    </w:p>
    <w:p>
      <w:pPr>
        <w:snapToGrid w:val="0"/>
        <w:spacing w:line="360" w:lineRule="auto"/>
        <w:ind w:left="560" w:firstLine="0" w:firstLineChars="0"/>
        <w:jc w:val="center"/>
        <w:outlineLvl w:val="1"/>
        <w:rPr>
          <w:rFonts w:hint="eastAsia" w:ascii="宋体" w:hAnsi="宋体" w:cs="宋体"/>
          <w:b/>
          <w:color w:val="auto"/>
          <w:kern w:val="0"/>
          <w:sz w:val="56"/>
          <w:szCs w:val="56"/>
        </w:rPr>
      </w:pPr>
      <w:r>
        <w:rPr>
          <w:rFonts w:hint="eastAsia" w:ascii="宋体" w:hAnsi="宋体" w:cs="宋体"/>
          <w:b/>
          <w:color w:val="auto"/>
          <w:kern w:val="0"/>
          <w:sz w:val="56"/>
          <w:szCs w:val="56"/>
        </w:rPr>
        <w:t>投标文件</w:t>
      </w:r>
    </w:p>
    <w:p>
      <w:pPr>
        <w:snapToGrid w:val="0"/>
        <w:spacing w:line="360" w:lineRule="auto"/>
        <w:ind w:left="0" w:leftChars="0" w:firstLine="2520" w:firstLineChars="700"/>
        <w:jc w:val="both"/>
        <w:outlineLvl w:val="0"/>
        <w:rPr>
          <w:rFonts w:hint="default" w:ascii="宋体" w:hAnsi="宋体" w:eastAsia="宋体" w:cs="宋体"/>
          <w:color w:val="auto"/>
          <w:kern w:val="0"/>
          <w:sz w:val="36"/>
          <w:szCs w:val="36"/>
          <w:lang w:val="en-US" w:eastAsia="zh-CN"/>
        </w:rPr>
      </w:pPr>
      <w:r>
        <w:rPr>
          <w:rFonts w:hint="eastAsia" w:ascii="宋体" w:hAnsi="宋体" w:cs="宋体"/>
          <w:color w:val="auto"/>
          <w:kern w:val="0"/>
          <w:sz w:val="36"/>
          <w:szCs w:val="36"/>
        </w:rPr>
        <w:t>编号：</w:t>
      </w:r>
      <w:r>
        <w:rPr>
          <w:rFonts w:hint="eastAsia" w:ascii="宋体" w:hAnsi="宋体" w:cs="宋体"/>
          <w:color w:val="auto"/>
          <w:kern w:val="0"/>
          <w:sz w:val="36"/>
          <w:szCs w:val="36"/>
          <w:lang w:val="en-US" w:eastAsia="zh-CN"/>
        </w:rPr>
        <w:t xml:space="preserve">       </w:t>
      </w:r>
    </w:p>
    <w:p>
      <w:pPr>
        <w:pStyle w:val="2"/>
        <w:rPr>
          <w:rFonts w:hint="eastAsia"/>
          <w:color w:val="auto"/>
        </w:rPr>
      </w:pPr>
    </w:p>
    <w:p>
      <w:pPr>
        <w:snapToGrid w:val="0"/>
        <w:spacing w:line="360" w:lineRule="auto"/>
        <w:rPr>
          <w:rFonts w:hint="eastAsia" w:ascii="宋体" w:hAnsi="宋体" w:cs="宋体"/>
          <w:color w:val="auto"/>
          <w:kern w:val="0"/>
        </w:rPr>
      </w:pPr>
    </w:p>
    <w:p>
      <w:pPr>
        <w:snapToGrid w:val="0"/>
        <w:spacing w:line="360" w:lineRule="auto"/>
        <w:rPr>
          <w:rFonts w:hint="eastAsia" w:ascii="宋体" w:hAnsi="宋体" w:cs="宋体"/>
          <w:color w:val="auto"/>
          <w:kern w:val="0"/>
        </w:rPr>
      </w:pPr>
    </w:p>
    <w:p>
      <w:pPr>
        <w:snapToGrid w:val="0"/>
        <w:spacing w:line="360" w:lineRule="auto"/>
        <w:rPr>
          <w:rFonts w:hint="eastAsia" w:ascii="宋体" w:hAnsi="宋体" w:cs="宋体"/>
          <w:color w:val="auto"/>
          <w:kern w:val="0"/>
        </w:rPr>
      </w:pPr>
    </w:p>
    <w:p>
      <w:pPr>
        <w:snapToGrid w:val="0"/>
        <w:spacing w:line="360" w:lineRule="auto"/>
        <w:rPr>
          <w:rFonts w:hint="eastAsia" w:ascii="宋体" w:hAnsi="宋体" w:cs="宋体"/>
          <w:color w:val="auto"/>
          <w:kern w:val="0"/>
        </w:rPr>
      </w:pPr>
    </w:p>
    <w:p>
      <w:pPr>
        <w:pStyle w:val="2"/>
        <w:snapToGrid w:val="0"/>
        <w:rPr>
          <w:rFonts w:hint="eastAsia" w:cs="宋体"/>
          <w:color w:val="auto"/>
          <w:kern w:val="0"/>
        </w:rPr>
      </w:pPr>
    </w:p>
    <w:p>
      <w:pPr>
        <w:snapToGrid w:val="0"/>
        <w:spacing w:line="360" w:lineRule="auto"/>
        <w:rPr>
          <w:rFonts w:hint="eastAsia" w:ascii="宋体" w:hAnsi="宋体" w:cs="宋体"/>
          <w:color w:val="auto"/>
          <w:kern w:val="0"/>
        </w:rPr>
      </w:pPr>
    </w:p>
    <w:p>
      <w:pPr>
        <w:snapToGrid w:val="0"/>
        <w:spacing w:line="360" w:lineRule="auto"/>
        <w:rPr>
          <w:rFonts w:hint="eastAsia" w:ascii="宋体" w:hAnsi="宋体" w:cs="宋体"/>
          <w:color w:val="auto"/>
          <w:kern w:val="0"/>
        </w:rPr>
      </w:pPr>
    </w:p>
    <w:p>
      <w:pPr>
        <w:snapToGrid w:val="0"/>
        <w:spacing w:line="360" w:lineRule="auto"/>
        <w:rPr>
          <w:rFonts w:hint="eastAsia" w:ascii="宋体" w:hAnsi="宋体" w:cs="宋体"/>
          <w:color w:val="auto"/>
          <w:kern w:val="0"/>
        </w:rPr>
      </w:pPr>
    </w:p>
    <w:p>
      <w:pPr>
        <w:snapToGrid w:val="0"/>
        <w:spacing w:line="360" w:lineRule="auto"/>
        <w:rPr>
          <w:rFonts w:hint="eastAsia" w:ascii="宋体" w:hAnsi="宋体" w:cs="宋体"/>
          <w:color w:val="auto"/>
          <w:kern w:val="0"/>
        </w:rPr>
      </w:pPr>
    </w:p>
    <w:p>
      <w:pPr>
        <w:snapToGrid w:val="0"/>
        <w:spacing w:line="360" w:lineRule="auto"/>
        <w:rPr>
          <w:rFonts w:hint="eastAsia" w:ascii="宋体" w:hAnsi="宋体" w:cs="宋体"/>
          <w:color w:val="auto"/>
          <w:kern w:val="0"/>
        </w:rPr>
      </w:pPr>
    </w:p>
    <w:p>
      <w:pPr>
        <w:snapToGrid w:val="0"/>
        <w:spacing w:line="360" w:lineRule="auto"/>
        <w:rPr>
          <w:rFonts w:hint="eastAsia" w:ascii="宋体" w:hAnsi="宋体" w:cs="宋体"/>
          <w:color w:val="auto"/>
          <w:kern w:val="0"/>
        </w:rPr>
      </w:pPr>
    </w:p>
    <w:p>
      <w:pPr>
        <w:snapToGrid w:val="0"/>
        <w:spacing w:line="360" w:lineRule="auto"/>
        <w:rPr>
          <w:rFonts w:hint="eastAsia" w:ascii="宋体" w:hAnsi="宋体" w:cs="宋体"/>
          <w:color w:val="auto"/>
          <w:kern w:val="0"/>
        </w:rPr>
      </w:pPr>
    </w:p>
    <w:p>
      <w:pPr>
        <w:snapToGrid w:val="0"/>
        <w:spacing w:line="360" w:lineRule="auto"/>
        <w:ind w:firstLine="0" w:firstLineChars="0"/>
        <w:jc w:val="center"/>
        <w:outlineLvl w:val="0"/>
        <w:rPr>
          <w:rFonts w:hint="eastAsia" w:ascii="宋体" w:hAnsi="宋体" w:cs="宋体"/>
          <w:color w:val="auto"/>
          <w:kern w:val="0"/>
        </w:rPr>
      </w:pPr>
      <w:r>
        <w:rPr>
          <w:rFonts w:hint="eastAsia" w:ascii="宋体" w:hAnsi="宋体" w:cs="宋体"/>
          <w:color w:val="auto"/>
          <w:kern w:val="0"/>
        </w:rPr>
        <w:t>投标人</w:t>
      </w:r>
      <w:r>
        <w:rPr>
          <w:rFonts w:hint="eastAsia" w:ascii="宋体" w:hAnsi="宋体" w:cs="宋体"/>
          <w:color w:val="auto"/>
          <w:kern w:val="0"/>
          <w:highlight w:val="none"/>
        </w:rPr>
        <w:t>：</w:t>
      </w:r>
      <w:r>
        <w:rPr>
          <w:rFonts w:hint="eastAsia" w:ascii="宋体" w:hAnsi="宋体" w:cs="宋体"/>
          <w:color w:val="auto"/>
          <w:kern w:val="0"/>
          <w:highlight w:val="none"/>
          <w:u w:val="single"/>
        </w:rPr>
        <w:tab/>
      </w:r>
      <w:r>
        <w:rPr>
          <w:rFonts w:hint="eastAsia" w:ascii="宋体" w:hAnsi="宋体" w:cs="宋体"/>
          <w:color w:val="auto"/>
          <w:kern w:val="0"/>
        </w:rPr>
        <w:t>（盖单位章）</w:t>
      </w:r>
    </w:p>
    <w:p>
      <w:pPr>
        <w:snapToGrid w:val="0"/>
        <w:spacing w:line="360" w:lineRule="auto"/>
        <w:ind w:firstLine="0" w:firstLineChars="0"/>
        <w:jc w:val="center"/>
        <w:outlineLvl w:val="0"/>
        <w:rPr>
          <w:rFonts w:hint="eastAsia" w:ascii="宋体" w:hAnsi="宋体" w:cs="宋体"/>
          <w:color w:val="auto"/>
          <w:kern w:val="0"/>
        </w:rPr>
      </w:pPr>
      <w:r>
        <w:rPr>
          <w:rFonts w:hint="eastAsia" w:ascii="宋体" w:hAnsi="宋体" w:cs="宋体"/>
          <w:color w:val="auto"/>
          <w:kern w:val="0"/>
        </w:rPr>
        <w:t>法定代表人（单位负责人）或其委托代理人</w:t>
      </w:r>
      <w:r>
        <w:rPr>
          <w:rFonts w:hint="eastAsia" w:ascii="宋体" w:hAnsi="宋体" w:cs="宋体"/>
          <w:color w:val="auto"/>
          <w:kern w:val="0"/>
          <w:highlight w:val="none"/>
        </w:rPr>
        <w:t>：</w:t>
      </w:r>
      <w:r>
        <w:rPr>
          <w:rFonts w:hint="eastAsia" w:ascii="宋体" w:hAnsi="宋体" w:cs="宋体"/>
          <w:color w:val="auto"/>
          <w:kern w:val="0"/>
          <w:highlight w:val="none"/>
          <w:u w:val="single"/>
        </w:rPr>
        <w:tab/>
      </w:r>
      <w:r>
        <w:rPr>
          <w:rFonts w:hint="eastAsia" w:ascii="宋体" w:hAnsi="宋体" w:cs="宋体"/>
          <w:color w:val="auto"/>
          <w:kern w:val="0"/>
          <w:u w:val="single"/>
        </w:rPr>
        <w:tab/>
      </w:r>
      <w:r>
        <w:rPr>
          <w:rFonts w:hint="eastAsia" w:ascii="宋体" w:hAnsi="宋体" w:cs="宋体"/>
          <w:color w:val="auto"/>
          <w:kern w:val="0"/>
        </w:rPr>
        <w:t>（签字）</w:t>
      </w:r>
    </w:p>
    <w:p>
      <w:pPr>
        <w:snapToGrid w:val="0"/>
        <w:spacing w:line="360" w:lineRule="auto"/>
        <w:jc w:val="center"/>
        <w:outlineLvl w:val="0"/>
        <w:rPr>
          <w:rFonts w:hint="eastAsia" w:ascii="宋体" w:hAnsi="宋体" w:cs="宋体"/>
          <w:color w:val="auto"/>
          <w:kern w:val="0"/>
        </w:rPr>
      </w:pPr>
      <w:r>
        <w:rPr>
          <w:rFonts w:hint="eastAsia" w:ascii="宋体" w:hAnsi="宋体" w:cs="宋体"/>
          <w:color w:val="auto"/>
          <w:kern w:val="0"/>
        </w:rPr>
        <w:t>年</w:t>
      </w:r>
      <w:r>
        <w:rPr>
          <w:rFonts w:hint="eastAsia" w:ascii="宋体" w:hAnsi="宋体" w:cs="宋体"/>
          <w:color w:val="auto"/>
          <w:kern w:val="0"/>
        </w:rPr>
        <w:tab/>
      </w:r>
      <w:r>
        <w:rPr>
          <w:rFonts w:hint="eastAsia" w:ascii="宋体" w:hAnsi="宋体" w:cs="宋体"/>
          <w:color w:val="auto"/>
          <w:kern w:val="0"/>
        </w:rPr>
        <w:t>月</w:t>
      </w:r>
      <w:r>
        <w:rPr>
          <w:rFonts w:hint="eastAsia" w:ascii="宋体" w:hAnsi="宋体" w:cs="宋体"/>
          <w:color w:val="auto"/>
          <w:kern w:val="0"/>
        </w:rPr>
        <w:tab/>
      </w:r>
      <w:r>
        <w:rPr>
          <w:rFonts w:hint="eastAsia" w:ascii="宋体" w:hAnsi="宋体" w:cs="宋体"/>
          <w:color w:val="auto"/>
          <w:kern w:val="0"/>
        </w:rPr>
        <w:t>日</w:t>
      </w:r>
    </w:p>
    <w:p>
      <w:pPr>
        <w:snapToGrid w:val="0"/>
        <w:spacing w:line="360" w:lineRule="auto"/>
        <w:jc w:val="center"/>
        <w:rPr>
          <w:rFonts w:hint="eastAsia" w:ascii="宋体" w:hAnsi="宋体" w:cs="宋体"/>
          <w:color w:val="auto"/>
          <w:kern w:val="0"/>
          <w:sz w:val="36"/>
          <w:szCs w:val="36"/>
        </w:rPr>
      </w:pPr>
      <w:r>
        <w:rPr>
          <w:rFonts w:hint="eastAsia" w:ascii="宋体" w:hAnsi="宋体" w:cs="宋体"/>
          <w:color w:val="auto"/>
          <w:kern w:val="0"/>
        </w:rPr>
        <w:br w:type="page"/>
      </w:r>
      <w:r>
        <w:rPr>
          <w:rFonts w:hint="eastAsia" w:ascii="宋体" w:hAnsi="宋体" w:cs="宋体"/>
          <w:color w:val="auto"/>
          <w:kern w:val="0"/>
          <w:sz w:val="36"/>
          <w:szCs w:val="36"/>
        </w:rPr>
        <w:t>评分表</w:t>
      </w:r>
    </w:p>
    <w:p>
      <w:pPr>
        <w:pStyle w:val="59"/>
        <w:snapToGrid w:val="0"/>
        <w:spacing w:line="360" w:lineRule="auto"/>
        <w:jc w:val="center"/>
        <w:outlineLvl w:val="0"/>
        <w:rPr>
          <w:rFonts w:hint="eastAsia" w:ascii="宋体" w:hAnsi="宋体" w:cs="宋体"/>
          <w:color w:val="auto"/>
          <w:kern w:val="0"/>
        </w:rPr>
      </w:pPr>
      <w:r>
        <w:rPr>
          <w:rFonts w:hint="eastAsia" w:ascii="宋体" w:hAnsi="宋体" w:cs="宋体"/>
          <w:color w:val="auto"/>
          <w:kern w:val="0"/>
        </w:rPr>
        <w:t>（请投标人把第二章中的评分表填写评分项所在页码后置于此处）</w:t>
      </w:r>
    </w:p>
    <w:p>
      <w:pPr>
        <w:pStyle w:val="7"/>
        <w:snapToGrid w:val="0"/>
        <w:spacing w:before="0" w:after="0" w:line="360" w:lineRule="auto"/>
        <w:jc w:val="center"/>
        <w:rPr>
          <w:rFonts w:hint="eastAsia" w:cs="宋体"/>
          <w:color w:val="auto"/>
        </w:rPr>
      </w:pPr>
      <w:bookmarkStart w:id="207" w:name="_Toc3324"/>
      <w:r>
        <w:rPr>
          <w:rFonts w:hint="eastAsia" w:cs="宋体"/>
          <w:color w:val="auto"/>
        </w:rPr>
        <w:br w:type="column"/>
      </w:r>
      <w:r>
        <w:rPr>
          <w:rFonts w:hint="eastAsia" w:cs="宋体"/>
          <w:color w:val="auto"/>
        </w:rPr>
        <w:t>目录</w:t>
      </w:r>
      <w:bookmarkEnd w:id="207"/>
    </w:p>
    <w:p>
      <w:pPr>
        <w:pStyle w:val="59"/>
        <w:snapToGrid w:val="0"/>
        <w:spacing w:line="360" w:lineRule="auto"/>
        <w:jc w:val="center"/>
        <w:outlineLvl w:val="0"/>
        <w:rPr>
          <w:rFonts w:hint="eastAsia" w:ascii="宋体" w:hAnsi="宋体" w:cs="宋体"/>
          <w:color w:val="auto"/>
          <w:kern w:val="0"/>
        </w:rPr>
      </w:pPr>
      <w:r>
        <w:rPr>
          <w:rFonts w:hint="eastAsia" w:ascii="宋体" w:hAnsi="宋体" w:cs="宋体"/>
          <w:color w:val="auto"/>
          <w:kern w:val="0"/>
        </w:rPr>
        <w:t>（投标人应详细编写目录并自动生成页码）</w:t>
      </w:r>
    </w:p>
    <w:p>
      <w:pPr>
        <w:snapToGrid w:val="0"/>
        <w:spacing w:line="360" w:lineRule="auto"/>
        <w:rPr>
          <w:rFonts w:hint="eastAsia" w:ascii="宋体" w:hAnsi="宋体" w:cs="宋体"/>
          <w:color w:val="auto"/>
          <w:kern w:val="0"/>
        </w:rPr>
      </w:pPr>
    </w:p>
    <w:p>
      <w:pPr>
        <w:snapToGrid w:val="0"/>
        <w:spacing w:line="360" w:lineRule="auto"/>
        <w:rPr>
          <w:rFonts w:hint="eastAsia" w:ascii="宋体" w:hAnsi="宋体" w:cs="宋体"/>
          <w:color w:val="auto"/>
          <w:kern w:val="0"/>
        </w:rPr>
      </w:pPr>
    </w:p>
    <w:p>
      <w:pPr>
        <w:snapToGrid w:val="0"/>
        <w:spacing w:line="360" w:lineRule="auto"/>
        <w:rPr>
          <w:rFonts w:hint="eastAsia" w:ascii="宋体" w:hAnsi="宋体" w:cs="宋体"/>
          <w:color w:val="auto"/>
          <w:kern w:val="0"/>
        </w:rPr>
      </w:pPr>
    </w:p>
    <w:p>
      <w:pPr>
        <w:snapToGrid w:val="0"/>
        <w:spacing w:line="360" w:lineRule="auto"/>
        <w:ind w:firstLine="0" w:firstLineChars="0"/>
        <w:jc w:val="center"/>
        <w:outlineLvl w:val="0"/>
        <w:rPr>
          <w:rFonts w:hint="eastAsia" w:ascii="宋体" w:hAnsi="宋体" w:cs="宋体"/>
          <w:b/>
          <w:bCs/>
          <w:color w:val="auto"/>
          <w:kern w:val="0"/>
        </w:rPr>
      </w:pPr>
      <w:r>
        <w:rPr>
          <w:rFonts w:hint="eastAsia" w:ascii="宋体" w:hAnsi="宋体" w:cs="宋体"/>
          <w:color w:val="auto"/>
          <w:kern w:val="0"/>
        </w:rPr>
        <w:br w:type="page"/>
      </w:r>
      <w:bookmarkStart w:id="208" w:name="_Toc21507"/>
      <w:bookmarkStart w:id="209" w:name="_Toc47023136"/>
      <w:bookmarkStart w:id="210" w:name="_Toc40699939"/>
      <w:bookmarkStart w:id="211" w:name="_Toc1734"/>
      <w:r>
        <w:rPr>
          <w:rFonts w:hint="eastAsia" w:ascii="宋体" w:hAnsi="宋体" w:cs="宋体"/>
          <w:b/>
          <w:bCs/>
          <w:color w:val="auto"/>
          <w:kern w:val="0"/>
        </w:rPr>
        <w:t>一、投标函</w:t>
      </w:r>
      <w:bookmarkEnd w:id="208"/>
      <w:bookmarkEnd w:id="209"/>
      <w:bookmarkEnd w:id="210"/>
      <w:bookmarkEnd w:id="211"/>
    </w:p>
    <w:p>
      <w:pPr>
        <w:snapToGrid w:val="0"/>
        <w:spacing w:line="360" w:lineRule="auto"/>
        <w:ind w:firstLine="0" w:firstLineChars="0"/>
        <w:rPr>
          <w:rFonts w:hint="eastAsia" w:ascii="宋体" w:hAnsi="宋体" w:cs="宋体"/>
          <w:color w:val="auto"/>
          <w:kern w:val="0"/>
        </w:rPr>
      </w:pPr>
      <w:r>
        <w:rPr>
          <w:rFonts w:hint="eastAsia" w:ascii="宋体" w:hAnsi="宋体" w:cs="宋体"/>
          <w:color w:val="auto"/>
          <w:kern w:val="0"/>
          <w:szCs w:val="21"/>
          <w:u w:val="single"/>
        </w:rPr>
        <w:t>扬州市民卡有限责任公司</w:t>
      </w:r>
      <w:r>
        <w:rPr>
          <w:rFonts w:hint="eastAsia" w:ascii="宋体" w:hAnsi="宋体" w:cs="宋体"/>
          <w:color w:val="auto"/>
          <w:kern w:val="0"/>
        </w:rPr>
        <w:t>（招标人名称）：</w:t>
      </w:r>
    </w:p>
    <w:p>
      <w:pPr>
        <w:snapToGrid w:val="0"/>
        <w:spacing w:line="360" w:lineRule="auto"/>
        <w:rPr>
          <w:rFonts w:hint="eastAsia" w:ascii="宋体" w:hAnsi="宋体" w:cs="宋体"/>
          <w:color w:val="auto"/>
          <w:kern w:val="0"/>
        </w:rPr>
      </w:pPr>
      <w:r>
        <w:rPr>
          <w:rFonts w:hint="eastAsia" w:ascii="宋体" w:hAnsi="宋体" w:cs="宋体"/>
          <w:color w:val="auto"/>
          <w:kern w:val="0"/>
        </w:rPr>
        <w:t>1．我方已仔细研究了</w:t>
      </w:r>
      <w:r>
        <w:rPr>
          <w:rFonts w:hint="eastAsia" w:ascii="宋体" w:hAnsi="宋体" w:cs="宋体"/>
          <w:color w:val="auto"/>
          <w:kern w:val="0"/>
          <w:u w:val="single"/>
        </w:rPr>
        <w:tab/>
      </w:r>
      <w:r>
        <w:rPr>
          <w:rFonts w:hint="eastAsia" w:ascii="宋体" w:hAnsi="宋体" w:cs="宋体"/>
          <w:color w:val="auto"/>
          <w:kern w:val="0"/>
          <w:u w:val="single"/>
        </w:rPr>
        <w:t xml:space="preserve">         </w:t>
      </w:r>
      <w:r>
        <w:rPr>
          <w:rFonts w:hint="eastAsia" w:ascii="宋体" w:hAnsi="宋体" w:cs="宋体"/>
          <w:color w:val="auto"/>
          <w:kern w:val="0"/>
        </w:rPr>
        <w:t>（项目名称）项目招标文件的全部内容，愿意以人民币（大写）</w:t>
      </w:r>
      <w:r>
        <w:rPr>
          <w:rFonts w:hint="eastAsia" w:ascii="宋体" w:hAnsi="宋体" w:cs="宋体"/>
          <w:color w:val="auto"/>
          <w:kern w:val="0"/>
          <w:u w:val="single"/>
        </w:rPr>
        <w:tab/>
      </w:r>
      <w:r>
        <w:rPr>
          <w:rFonts w:hint="eastAsia" w:ascii="宋体" w:hAnsi="宋体" w:cs="宋体"/>
          <w:color w:val="auto"/>
          <w:kern w:val="0"/>
          <w:u w:val="single"/>
        </w:rPr>
        <w:t xml:space="preserve">    </w:t>
      </w:r>
      <w:r>
        <w:rPr>
          <w:rFonts w:hint="eastAsia" w:ascii="宋体" w:hAnsi="宋体" w:cs="宋体"/>
          <w:color w:val="auto"/>
          <w:kern w:val="0"/>
        </w:rPr>
        <w:t>（￥</w:t>
      </w:r>
      <w:r>
        <w:rPr>
          <w:rFonts w:hint="eastAsia" w:ascii="宋体" w:hAnsi="宋体" w:cs="宋体"/>
          <w:color w:val="auto"/>
          <w:kern w:val="0"/>
          <w:u w:val="single"/>
        </w:rPr>
        <w:tab/>
      </w:r>
      <w:r>
        <w:rPr>
          <w:rFonts w:hint="eastAsia" w:ascii="宋体" w:hAnsi="宋体" w:cs="宋体"/>
          <w:color w:val="auto"/>
          <w:kern w:val="0"/>
          <w:u w:val="single"/>
        </w:rPr>
        <w:t xml:space="preserve">    </w:t>
      </w:r>
      <w:r>
        <w:rPr>
          <w:rFonts w:hint="eastAsia" w:ascii="宋体" w:hAnsi="宋体" w:cs="宋体"/>
          <w:color w:val="auto"/>
          <w:kern w:val="0"/>
        </w:rPr>
        <w:t>）的投标报价提供</w:t>
      </w:r>
      <w:r>
        <w:rPr>
          <w:rFonts w:hint="eastAsia" w:ascii="宋体" w:hAnsi="宋体" w:cs="宋体"/>
          <w:color w:val="auto"/>
          <w:kern w:val="0"/>
          <w:u w:val="single"/>
        </w:rPr>
        <w:tab/>
      </w:r>
      <w:r>
        <w:rPr>
          <w:rFonts w:hint="eastAsia" w:ascii="宋体" w:hAnsi="宋体" w:cs="宋体"/>
          <w:color w:val="auto"/>
          <w:kern w:val="0"/>
          <w:u w:val="single"/>
        </w:rPr>
        <w:t xml:space="preserve">         </w:t>
      </w:r>
      <w:r>
        <w:rPr>
          <w:rFonts w:hint="eastAsia" w:ascii="宋体" w:hAnsi="宋体" w:cs="宋体"/>
          <w:color w:val="auto"/>
          <w:kern w:val="0"/>
        </w:rPr>
        <w:t>（产品名称/服务），并按合同约定履行义务。</w:t>
      </w:r>
    </w:p>
    <w:p>
      <w:pPr>
        <w:snapToGrid w:val="0"/>
        <w:spacing w:line="360" w:lineRule="auto"/>
        <w:rPr>
          <w:rFonts w:hint="eastAsia" w:ascii="宋体" w:hAnsi="宋体" w:cs="宋体"/>
          <w:color w:val="auto"/>
          <w:kern w:val="0"/>
        </w:rPr>
      </w:pPr>
      <w:r>
        <w:rPr>
          <w:rFonts w:hint="eastAsia" w:ascii="宋体" w:hAnsi="宋体" w:cs="宋体"/>
          <w:color w:val="auto"/>
          <w:kern w:val="0"/>
        </w:rPr>
        <w:t>2.我方承诺本项目的交货时间为</w:t>
      </w:r>
      <w:r>
        <w:rPr>
          <w:rFonts w:hint="eastAsia" w:ascii="宋体" w:hAnsi="宋体" w:cs="宋体"/>
          <w:color w:val="auto"/>
          <w:kern w:val="0"/>
          <w:highlight w:val="none"/>
        </w:rPr>
        <w:t>：</w:t>
      </w:r>
      <w:r>
        <w:rPr>
          <w:rFonts w:hint="eastAsia" w:ascii="宋体" w:hAnsi="宋体" w:cs="宋体"/>
          <w:color w:val="auto"/>
          <w:kern w:val="0"/>
          <w:highlight w:val="none"/>
          <w:u w:val="single"/>
        </w:rPr>
        <w:tab/>
      </w:r>
      <w:r>
        <w:rPr>
          <w:rFonts w:hint="eastAsia" w:ascii="宋体" w:hAnsi="宋体" w:cs="宋体"/>
          <w:color w:val="auto"/>
          <w:kern w:val="0"/>
          <w:u w:val="single"/>
        </w:rPr>
        <w:t xml:space="preserve">       </w:t>
      </w:r>
      <w:r>
        <w:rPr>
          <w:rFonts w:hint="eastAsia" w:ascii="宋体" w:hAnsi="宋体" w:cs="宋体"/>
          <w:color w:val="auto"/>
          <w:kern w:val="0"/>
        </w:rPr>
        <w:t>；交货地点为</w:t>
      </w:r>
      <w:r>
        <w:rPr>
          <w:rFonts w:hint="eastAsia" w:ascii="宋体" w:hAnsi="宋体" w:cs="宋体"/>
          <w:color w:val="auto"/>
          <w:kern w:val="0"/>
          <w:highlight w:val="none"/>
        </w:rPr>
        <w:t>：</w:t>
      </w:r>
      <w:r>
        <w:rPr>
          <w:rFonts w:hint="eastAsia" w:ascii="宋体" w:hAnsi="宋体" w:cs="宋体"/>
          <w:color w:val="auto"/>
          <w:kern w:val="0"/>
          <w:highlight w:val="none"/>
          <w:u w:val="single"/>
        </w:rPr>
        <w:tab/>
      </w:r>
      <w:r>
        <w:rPr>
          <w:rFonts w:hint="eastAsia" w:ascii="宋体" w:hAnsi="宋体" w:cs="宋体"/>
          <w:color w:val="auto"/>
          <w:kern w:val="0"/>
          <w:u w:val="single"/>
        </w:rPr>
        <w:t xml:space="preserve">       </w:t>
      </w:r>
      <w:r>
        <w:rPr>
          <w:rFonts w:hint="eastAsia" w:ascii="宋体" w:hAnsi="宋体" w:cs="宋体"/>
          <w:color w:val="auto"/>
          <w:kern w:val="0"/>
        </w:rPr>
        <w:t>。</w:t>
      </w:r>
    </w:p>
    <w:p>
      <w:pPr>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3.我方的投标文件包括下列内容：</w:t>
      </w:r>
    </w:p>
    <w:p>
      <w:pPr>
        <w:snapToGrid w:val="0"/>
        <w:spacing w:line="360" w:lineRule="auto"/>
        <w:rPr>
          <w:rFonts w:hint="eastAsia" w:ascii="宋体" w:hAnsi="宋体" w:cs="宋体"/>
          <w:color w:val="auto"/>
          <w:kern w:val="0"/>
        </w:rPr>
      </w:pPr>
      <w:r>
        <w:rPr>
          <w:rFonts w:hint="eastAsia" w:ascii="宋体" w:hAnsi="宋体" w:cs="宋体"/>
          <w:color w:val="auto"/>
          <w:kern w:val="0"/>
        </w:rPr>
        <w:t>（1）投标函；</w:t>
      </w:r>
    </w:p>
    <w:p>
      <w:pPr>
        <w:snapToGrid w:val="0"/>
        <w:spacing w:line="360" w:lineRule="auto"/>
        <w:rPr>
          <w:rFonts w:hint="eastAsia" w:ascii="宋体" w:hAnsi="宋体" w:cs="宋体"/>
          <w:color w:val="auto"/>
          <w:kern w:val="0"/>
        </w:rPr>
      </w:pPr>
      <w:r>
        <w:rPr>
          <w:rFonts w:hint="eastAsia" w:ascii="宋体" w:hAnsi="宋体" w:cs="宋体"/>
          <w:color w:val="auto"/>
          <w:kern w:val="0"/>
        </w:rPr>
        <w:t>（2）法定代表人（单位负责人）身份证明</w:t>
      </w:r>
    </w:p>
    <w:p>
      <w:pPr>
        <w:snapToGrid w:val="0"/>
        <w:spacing w:line="360" w:lineRule="auto"/>
        <w:rPr>
          <w:rFonts w:hint="eastAsia" w:ascii="宋体" w:hAnsi="宋体" w:cs="宋体"/>
          <w:color w:val="auto"/>
          <w:kern w:val="0"/>
        </w:rPr>
      </w:pPr>
      <w:r>
        <w:rPr>
          <w:rFonts w:hint="eastAsia" w:ascii="宋体" w:hAnsi="宋体" w:cs="宋体"/>
          <w:color w:val="auto"/>
          <w:kern w:val="0"/>
        </w:rPr>
        <w:t>（3）授权委托书；</w:t>
      </w:r>
    </w:p>
    <w:p>
      <w:pPr>
        <w:snapToGrid w:val="0"/>
        <w:spacing w:line="360" w:lineRule="auto"/>
        <w:rPr>
          <w:rFonts w:hint="eastAsia" w:ascii="宋体" w:hAnsi="宋体" w:cs="宋体"/>
          <w:color w:val="auto"/>
          <w:kern w:val="0"/>
        </w:rPr>
      </w:pPr>
      <w:r>
        <w:rPr>
          <w:rFonts w:hint="eastAsia" w:ascii="宋体" w:hAnsi="宋体" w:cs="宋体"/>
          <w:color w:val="auto"/>
          <w:kern w:val="0"/>
        </w:rPr>
        <w:t>（4）商务和技术偏差表；</w:t>
      </w:r>
    </w:p>
    <w:p>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kern w:val="0"/>
          <w:szCs w:val="21"/>
          <w:lang w:val="en-US" w:eastAsia="zh-CN"/>
        </w:rPr>
        <w:t>5</w:t>
      </w:r>
      <w:r>
        <w:rPr>
          <w:rFonts w:hint="eastAsia" w:ascii="宋体" w:hAnsi="宋体" w:cs="宋体"/>
          <w:color w:val="auto"/>
          <w:kern w:val="0"/>
          <w:szCs w:val="21"/>
        </w:rPr>
        <w:t>）报价表；</w:t>
      </w:r>
    </w:p>
    <w:p>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kern w:val="0"/>
          <w:szCs w:val="21"/>
          <w:lang w:val="en-US" w:eastAsia="zh-CN"/>
        </w:rPr>
        <w:t>6</w:t>
      </w:r>
      <w:r>
        <w:rPr>
          <w:rFonts w:hint="eastAsia" w:ascii="宋体" w:hAnsi="宋体" w:cs="宋体"/>
          <w:color w:val="auto"/>
          <w:kern w:val="0"/>
          <w:szCs w:val="21"/>
        </w:rPr>
        <w:t>）资格审查资料；</w:t>
      </w:r>
    </w:p>
    <w:p>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kern w:val="0"/>
          <w:szCs w:val="21"/>
          <w:lang w:val="en-US" w:eastAsia="zh-CN"/>
        </w:rPr>
        <w:t>7</w:t>
      </w:r>
      <w:r>
        <w:rPr>
          <w:rFonts w:hint="eastAsia" w:ascii="宋体" w:hAnsi="宋体" w:cs="宋体"/>
          <w:color w:val="auto"/>
          <w:kern w:val="0"/>
          <w:szCs w:val="21"/>
        </w:rPr>
        <w:t>）近年完成的类似项目情况表；</w:t>
      </w:r>
    </w:p>
    <w:p>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kern w:val="0"/>
          <w:szCs w:val="21"/>
          <w:lang w:val="en-US" w:eastAsia="zh-CN"/>
        </w:rPr>
        <w:t>8</w:t>
      </w:r>
      <w:r>
        <w:rPr>
          <w:rFonts w:hint="eastAsia" w:ascii="宋体" w:hAnsi="宋体" w:cs="宋体"/>
          <w:color w:val="auto"/>
          <w:kern w:val="0"/>
          <w:szCs w:val="21"/>
        </w:rPr>
        <w:t>）投标设备技术性能指标的详细描述；</w:t>
      </w:r>
    </w:p>
    <w:p>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kern w:val="0"/>
          <w:szCs w:val="21"/>
          <w:lang w:val="en-US" w:eastAsia="zh-CN"/>
        </w:rPr>
        <w:t>9</w:t>
      </w:r>
      <w:r>
        <w:rPr>
          <w:rFonts w:hint="eastAsia" w:ascii="宋体" w:hAnsi="宋体" w:cs="宋体"/>
          <w:color w:val="auto"/>
          <w:kern w:val="0"/>
          <w:szCs w:val="21"/>
        </w:rPr>
        <w:t>）技术支持资料；</w:t>
      </w:r>
    </w:p>
    <w:p>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kern w:val="0"/>
          <w:szCs w:val="21"/>
          <w:lang w:val="en-US" w:eastAsia="zh-CN"/>
        </w:rPr>
        <w:t>10</w:t>
      </w:r>
      <w:r>
        <w:rPr>
          <w:rFonts w:hint="eastAsia" w:ascii="宋体" w:hAnsi="宋体" w:cs="宋体"/>
          <w:color w:val="auto"/>
          <w:kern w:val="0"/>
          <w:szCs w:val="21"/>
        </w:rPr>
        <w:t>）技术服务和质保期服务计划；</w:t>
      </w:r>
    </w:p>
    <w:p>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（12）其他资料。</w:t>
      </w:r>
    </w:p>
    <w:p>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投标文件的上述组成部分如存在内容不一致的，以投标函为准。</w:t>
      </w:r>
    </w:p>
    <w:p>
      <w:pPr>
        <w:snapToGrid w:val="0"/>
        <w:spacing w:line="360" w:lineRule="auto"/>
        <w:rPr>
          <w:rFonts w:hint="eastAsia" w:ascii="宋体" w:hAnsi="宋体" w:cs="宋体"/>
          <w:color w:val="auto"/>
          <w:kern w:val="0"/>
        </w:rPr>
      </w:pPr>
      <w:r>
        <w:rPr>
          <w:rFonts w:hint="eastAsia" w:ascii="宋体" w:hAnsi="宋体" w:cs="宋体"/>
          <w:color w:val="auto"/>
          <w:kern w:val="0"/>
          <w:szCs w:val="21"/>
        </w:rPr>
        <w:t>4．我方承</w:t>
      </w:r>
      <w:r>
        <w:rPr>
          <w:rFonts w:hint="eastAsia" w:ascii="宋体" w:hAnsi="宋体" w:cs="宋体"/>
          <w:color w:val="auto"/>
          <w:kern w:val="0"/>
        </w:rPr>
        <w:t>诺除商务和技术偏差表列出的偏差外，我方响应招标文件的全部要求。</w:t>
      </w:r>
    </w:p>
    <w:p>
      <w:pPr>
        <w:snapToGrid w:val="0"/>
        <w:spacing w:line="360" w:lineRule="auto"/>
        <w:rPr>
          <w:rFonts w:hint="eastAsia" w:ascii="宋体" w:hAnsi="宋体" w:cs="宋体"/>
          <w:color w:val="auto"/>
          <w:kern w:val="0"/>
        </w:rPr>
      </w:pPr>
      <w:r>
        <w:rPr>
          <w:rFonts w:hint="eastAsia" w:ascii="宋体" w:hAnsi="宋体" w:cs="宋体"/>
          <w:color w:val="auto"/>
          <w:kern w:val="0"/>
        </w:rPr>
        <w:t>5．我方承诺在招标文件规定的投标有效期内不撤销投标文件。</w:t>
      </w:r>
    </w:p>
    <w:p>
      <w:pPr>
        <w:snapToGrid w:val="0"/>
        <w:spacing w:line="360" w:lineRule="auto"/>
        <w:rPr>
          <w:rFonts w:hint="eastAsia" w:ascii="宋体" w:hAnsi="宋体" w:cs="宋体"/>
          <w:color w:val="auto"/>
          <w:kern w:val="0"/>
        </w:rPr>
      </w:pPr>
      <w:r>
        <w:rPr>
          <w:rFonts w:hint="eastAsia" w:ascii="宋体" w:hAnsi="宋体" w:cs="宋体"/>
          <w:color w:val="auto"/>
          <w:kern w:val="0"/>
        </w:rPr>
        <w:t>6．如我方中标，我方承诺：</w:t>
      </w:r>
    </w:p>
    <w:p>
      <w:pPr>
        <w:snapToGrid w:val="0"/>
        <w:spacing w:line="360" w:lineRule="auto"/>
        <w:rPr>
          <w:rFonts w:hint="eastAsia" w:ascii="宋体" w:hAnsi="宋体" w:cs="宋体"/>
          <w:color w:val="auto"/>
          <w:kern w:val="0"/>
        </w:rPr>
      </w:pPr>
      <w:r>
        <w:rPr>
          <w:rFonts w:hint="eastAsia" w:ascii="宋体" w:hAnsi="宋体" w:cs="宋体"/>
          <w:color w:val="auto"/>
          <w:kern w:val="0"/>
        </w:rPr>
        <w:t>（1）在收到中标通知书后，在中标通知书规定的期限内与你方签订合同；</w:t>
      </w:r>
    </w:p>
    <w:p>
      <w:pPr>
        <w:snapToGrid w:val="0"/>
        <w:spacing w:line="360" w:lineRule="auto"/>
        <w:rPr>
          <w:rFonts w:hint="eastAsia" w:ascii="宋体" w:hAnsi="宋体" w:cs="宋体"/>
          <w:color w:val="auto"/>
          <w:kern w:val="0"/>
        </w:rPr>
      </w:pPr>
      <w:r>
        <w:rPr>
          <w:rFonts w:hint="eastAsia" w:ascii="宋体" w:hAnsi="宋体" w:cs="宋体"/>
          <w:color w:val="auto"/>
          <w:kern w:val="0"/>
        </w:rPr>
        <w:t>（2）在签订合同时不向你方提出附加条件；</w:t>
      </w:r>
    </w:p>
    <w:p>
      <w:pPr>
        <w:snapToGrid w:val="0"/>
        <w:spacing w:line="360" w:lineRule="auto"/>
        <w:rPr>
          <w:rFonts w:hint="eastAsia" w:ascii="宋体" w:hAnsi="宋体" w:cs="宋体"/>
          <w:color w:val="auto"/>
          <w:kern w:val="0"/>
        </w:rPr>
      </w:pPr>
      <w:r>
        <w:rPr>
          <w:rFonts w:hint="eastAsia" w:ascii="宋体" w:hAnsi="宋体" w:cs="宋体"/>
          <w:color w:val="auto"/>
          <w:kern w:val="0"/>
        </w:rPr>
        <w:t>（3）在合同约定的期限内完成合同规定的全部义务。</w:t>
      </w:r>
    </w:p>
    <w:p>
      <w:pPr>
        <w:snapToGrid w:val="0"/>
        <w:spacing w:line="360" w:lineRule="auto"/>
        <w:rPr>
          <w:rFonts w:hint="eastAsia" w:ascii="宋体" w:hAnsi="宋体" w:cs="宋体"/>
          <w:color w:val="auto"/>
          <w:kern w:val="0"/>
        </w:rPr>
      </w:pPr>
      <w:r>
        <w:rPr>
          <w:rFonts w:hint="eastAsia" w:ascii="宋体" w:hAnsi="宋体" w:cs="宋体"/>
          <w:color w:val="auto"/>
          <w:kern w:val="0"/>
        </w:rPr>
        <w:t>7．我方在此声明，所递交的投标文件及有关资料内容完整、真实和准确，且不存在第一章“投标人须知”第1.4.3项规定的任何一种情形。</w:t>
      </w:r>
    </w:p>
    <w:p>
      <w:pPr>
        <w:snapToGrid w:val="0"/>
        <w:spacing w:line="360" w:lineRule="auto"/>
        <w:rPr>
          <w:rFonts w:hint="eastAsia" w:ascii="宋体" w:hAnsi="宋体" w:cs="宋体"/>
          <w:color w:val="auto"/>
          <w:kern w:val="0"/>
        </w:rPr>
      </w:pPr>
      <w:r>
        <w:rPr>
          <w:rFonts w:hint="eastAsia" w:ascii="宋体" w:hAnsi="宋体" w:cs="宋体"/>
          <w:color w:val="auto"/>
          <w:kern w:val="0"/>
          <w:lang w:val="en-US" w:eastAsia="zh-CN"/>
        </w:rPr>
        <w:t>8</w:t>
      </w:r>
      <w:r>
        <w:rPr>
          <w:rFonts w:hint="eastAsia" w:ascii="宋体" w:hAnsi="宋体" w:cs="宋体"/>
          <w:color w:val="auto"/>
          <w:kern w:val="0"/>
        </w:rPr>
        <w:t>.其他补充说明</w:t>
      </w:r>
      <w:r>
        <w:rPr>
          <w:rFonts w:hint="eastAsia" w:ascii="宋体" w:hAnsi="宋体" w:cs="宋体"/>
          <w:color w:val="auto"/>
          <w:kern w:val="0"/>
          <w:highlight w:val="none"/>
        </w:rPr>
        <w:t>：</w:t>
      </w:r>
      <w:r>
        <w:rPr>
          <w:rFonts w:hint="eastAsia" w:ascii="宋体" w:hAnsi="宋体" w:cs="宋体"/>
          <w:color w:val="auto"/>
          <w:kern w:val="0"/>
          <w:highlight w:val="none"/>
          <w:u w:val="single"/>
        </w:rPr>
        <w:tab/>
      </w:r>
      <w:r>
        <w:rPr>
          <w:rFonts w:hint="eastAsia" w:ascii="宋体" w:hAnsi="宋体" w:cs="宋体"/>
          <w:color w:val="auto"/>
          <w:kern w:val="0"/>
          <w:u w:val="single"/>
        </w:rPr>
        <w:t xml:space="preserve">       </w:t>
      </w:r>
      <w:r>
        <w:rPr>
          <w:rFonts w:hint="eastAsia" w:ascii="宋体" w:hAnsi="宋体" w:cs="宋体"/>
          <w:color w:val="auto"/>
          <w:kern w:val="0"/>
        </w:rPr>
        <w:t>。</w:t>
      </w:r>
    </w:p>
    <w:p>
      <w:pPr>
        <w:snapToGrid w:val="0"/>
        <w:spacing w:line="240" w:lineRule="auto"/>
        <w:ind w:firstLine="2940" w:firstLineChars="1400"/>
        <w:rPr>
          <w:rFonts w:hint="eastAsia" w:ascii="宋体" w:hAnsi="宋体" w:cs="宋体"/>
          <w:color w:val="auto"/>
          <w:kern w:val="0"/>
        </w:rPr>
      </w:pPr>
      <w:r>
        <w:rPr>
          <w:rFonts w:hint="eastAsia" w:ascii="宋体" w:hAnsi="宋体" w:cs="宋体"/>
          <w:color w:val="auto"/>
          <w:kern w:val="0"/>
        </w:rPr>
        <w:t>投标人</w:t>
      </w:r>
      <w:r>
        <w:rPr>
          <w:rFonts w:hint="eastAsia" w:ascii="宋体" w:hAnsi="宋体" w:cs="宋体"/>
          <w:color w:val="auto"/>
          <w:kern w:val="0"/>
          <w:highlight w:val="none"/>
        </w:rPr>
        <w:t>：</w:t>
      </w:r>
      <w:r>
        <w:rPr>
          <w:rFonts w:hint="eastAsia" w:ascii="宋体" w:hAnsi="宋体" w:cs="宋体"/>
          <w:color w:val="auto"/>
          <w:kern w:val="0"/>
          <w:highlight w:val="none"/>
          <w:u w:val="single"/>
        </w:rPr>
        <w:tab/>
      </w:r>
      <w:r>
        <w:rPr>
          <w:rFonts w:hint="eastAsia" w:ascii="宋体" w:hAnsi="宋体" w:cs="宋体"/>
          <w:color w:val="auto"/>
          <w:kern w:val="0"/>
        </w:rPr>
        <w:t>（盖单位章）</w:t>
      </w:r>
    </w:p>
    <w:p>
      <w:pPr>
        <w:snapToGrid w:val="0"/>
        <w:spacing w:line="240" w:lineRule="auto"/>
        <w:ind w:firstLine="2940" w:firstLineChars="1400"/>
        <w:rPr>
          <w:rFonts w:hint="eastAsia" w:ascii="宋体" w:hAnsi="宋体" w:cs="宋体"/>
          <w:color w:val="auto"/>
          <w:kern w:val="0"/>
        </w:rPr>
      </w:pPr>
      <w:r>
        <w:rPr>
          <w:rFonts w:hint="eastAsia" w:ascii="宋体" w:hAnsi="宋体" w:cs="宋体"/>
          <w:color w:val="auto"/>
          <w:kern w:val="0"/>
        </w:rPr>
        <w:t>法定代表人（单位负责人）或其委托代理人</w:t>
      </w:r>
      <w:r>
        <w:rPr>
          <w:rFonts w:hint="eastAsia" w:ascii="宋体" w:hAnsi="宋体" w:cs="宋体"/>
          <w:color w:val="auto"/>
          <w:kern w:val="0"/>
          <w:highlight w:val="none"/>
        </w:rPr>
        <w:t>：</w:t>
      </w:r>
      <w:r>
        <w:rPr>
          <w:rFonts w:hint="eastAsia" w:ascii="宋体" w:hAnsi="宋体" w:cs="宋体"/>
          <w:color w:val="auto"/>
          <w:kern w:val="0"/>
          <w:highlight w:val="none"/>
          <w:u w:val="single"/>
        </w:rPr>
        <w:tab/>
      </w:r>
      <w:r>
        <w:rPr>
          <w:rFonts w:hint="eastAsia" w:ascii="宋体" w:hAnsi="宋体" w:cs="宋体"/>
          <w:color w:val="auto"/>
          <w:kern w:val="0"/>
        </w:rPr>
        <w:t>（签字）</w:t>
      </w:r>
    </w:p>
    <w:p>
      <w:pPr>
        <w:snapToGrid w:val="0"/>
        <w:spacing w:line="240" w:lineRule="auto"/>
        <w:ind w:firstLine="2940" w:firstLineChars="1400"/>
        <w:rPr>
          <w:rFonts w:hint="eastAsia" w:ascii="宋体" w:hAnsi="宋体" w:cs="宋体"/>
          <w:color w:val="auto"/>
          <w:kern w:val="0"/>
        </w:rPr>
      </w:pPr>
      <w:r>
        <w:rPr>
          <w:rFonts w:hint="eastAsia" w:ascii="宋体" w:hAnsi="宋体" w:cs="宋体"/>
          <w:color w:val="auto"/>
          <w:kern w:val="0"/>
        </w:rPr>
        <w:t>地</w:t>
      </w:r>
      <w:r>
        <w:rPr>
          <w:rFonts w:hint="eastAsia" w:ascii="宋体" w:hAnsi="宋体" w:cs="宋体"/>
          <w:color w:val="auto"/>
          <w:kern w:val="0"/>
        </w:rPr>
        <w:tab/>
      </w:r>
      <w:r>
        <w:rPr>
          <w:rFonts w:hint="eastAsia" w:ascii="宋体" w:hAnsi="宋体" w:cs="宋体"/>
          <w:color w:val="auto"/>
          <w:kern w:val="0"/>
        </w:rPr>
        <w:t>址</w:t>
      </w:r>
      <w:r>
        <w:rPr>
          <w:rFonts w:hint="eastAsia" w:ascii="宋体" w:hAnsi="宋体" w:cs="宋体"/>
          <w:color w:val="auto"/>
          <w:kern w:val="0"/>
          <w:highlight w:val="none"/>
        </w:rPr>
        <w:t>：</w:t>
      </w:r>
      <w:r>
        <w:rPr>
          <w:rFonts w:hint="eastAsia" w:ascii="宋体" w:hAnsi="宋体" w:cs="宋体"/>
          <w:color w:val="auto"/>
          <w:kern w:val="0"/>
          <w:highlight w:val="none"/>
        </w:rPr>
        <w:tab/>
      </w:r>
    </w:p>
    <w:p>
      <w:pPr>
        <w:snapToGrid w:val="0"/>
        <w:spacing w:line="240" w:lineRule="auto"/>
        <w:ind w:firstLine="2940" w:firstLineChars="1400"/>
        <w:rPr>
          <w:rFonts w:hint="eastAsia" w:ascii="宋体" w:hAnsi="宋体" w:cs="宋体"/>
          <w:color w:val="auto"/>
          <w:kern w:val="0"/>
        </w:rPr>
      </w:pPr>
      <w:r>
        <w:rPr>
          <w:rFonts w:hint="eastAsia" w:ascii="宋体" w:hAnsi="宋体" w:cs="宋体"/>
          <w:color w:val="auto"/>
          <w:kern w:val="0"/>
        </w:rPr>
        <w:t>网</w:t>
      </w:r>
      <w:r>
        <w:rPr>
          <w:rFonts w:hint="eastAsia" w:ascii="宋体" w:hAnsi="宋体" w:cs="宋体"/>
          <w:color w:val="auto"/>
          <w:kern w:val="0"/>
        </w:rPr>
        <w:tab/>
      </w:r>
      <w:r>
        <w:rPr>
          <w:rFonts w:hint="eastAsia" w:ascii="宋体" w:hAnsi="宋体" w:cs="宋体"/>
          <w:color w:val="auto"/>
          <w:kern w:val="0"/>
        </w:rPr>
        <w:t>址</w:t>
      </w:r>
      <w:r>
        <w:rPr>
          <w:rFonts w:hint="eastAsia" w:ascii="宋体" w:hAnsi="宋体" w:cs="宋体"/>
          <w:color w:val="auto"/>
          <w:kern w:val="0"/>
          <w:highlight w:val="none"/>
        </w:rPr>
        <w:t>：</w:t>
      </w:r>
      <w:r>
        <w:rPr>
          <w:rFonts w:hint="eastAsia" w:ascii="宋体" w:hAnsi="宋体" w:cs="宋体"/>
          <w:color w:val="auto"/>
          <w:kern w:val="0"/>
          <w:highlight w:val="none"/>
        </w:rPr>
        <w:tab/>
      </w:r>
    </w:p>
    <w:p>
      <w:pPr>
        <w:snapToGrid w:val="0"/>
        <w:spacing w:line="240" w:lineRule="auto"/>
        <w:ind w:firstLine="2940" w:firstLineChars="1400"/>
        <w:rPr>
          <w:rFonts w:hint="eastAsia" w:ascii="宋体" w:hAnsi="宋体" w:cs="宋体"/>
          <w:color w:val="auto"/>
          <w:kern w:val="0"/>
        </w:rPr>
      </w:pPr>
      <w:r>
        <w:rPr>
          <w:rFonts w:hint="eastAsia" w:ascii="宋体" w:hAnsi="宋体" w:cs="宋体"/>
          <w:color w:val="auto"/>
          <w:kern w:val="0"/>
        </w:rPr>
        <w:t>电</w:t>
      </w:r>
      <w:r>
        <w:rPr>
          <w:rFonts w:hint="eastAsia" w:ascii="宋体" w:hAnsi="宋体" w:cs="宋体"/>
          <w:color w:val="auto"/>
          <w:kern w:val="0"/>
        </w:rPr>
        <w:tab/>
      </w:r>
      <w:r>
        <w:rPr>
          <w:rFonts w:hint="eastAsia" w:ascii="宋体" w:hAnsi="宋体" w:cs="宋体"/>
          <w:color w:val="auto"/>
          <w:kern w:val="0"/>
        </w:rPr>
        <w:t>话</w:t>
      </w:r>
      <w:r>
        <w:rPr>
          <w:rFonts w:hint="eastAsia" w:ascii="宋体" w:hAnsi="宋体" w:cs="宋体"/>
          <w:color w:val="auto"/>
          <w:kern w:val="0"/>
          <w:highlight w:val="none"/>
        </w:rPr>
        <w:t>：</w:t>
      </w:r>
      <w:r>
        <w:rPr>
          <w:rFonts w:hint="eastAsia" w:ascii="宋体" w:hAnsi="宋体" w:cs="宋体"/>
          <w:color w:val="auto"/>
          <w:kern w:val="0"/>
          <w:highlight w:val="none"/>
        </w:rPr>
        <w:tab/>
      </w:r>
    </w:p>
    <w:p>
      <w:pPr>
        <w:snapToGrid w:val="0"/>
        <w:spacing w:line="240" w:lineRule="auto"/>
        <w:ind w:firstLine="2940" w:firstLineChars="1400"/>
        <w:rPr>
          <w:rFonts w:hint="eastAsia" w:ascii="宋体" w:hAnsi="宋体" w:cs="宋体"/>
          <w:color w:val="auto"/>
          <w:kern w:val="0"/>
        </w:rPr>
      </w:pPr>
      <w:r>
        <w:rPr>
          <w:rFonts w:hint="eastAsia" w:ascii="宋体" w:hAnsi="宋体" w:cs="宋体"/>
          <w:color w:val="auto"/>
          <w:kern w:val="0"/>
        </w:rPr>
        <w:t>传</w:t>
      </w:r>
      <w:r>
        <w:rPr>
          <w:rFonts w:hint="eastAsia" w:ascii="宋体" w:hAnsi="宋体" w:cs="宋体"/>
          <w:color w:val="auto"/>
          <w:kern w:val="0"/>
        </w:rPr>
        <w:tab/>
      </w:r>
      <w:r>
        <w:rPr>
          <w:rFonts w:hint="eastAsia" w:ascii="宋体" w:hAnsi="宋体" w:cs="宋体"/>
          <w:color w:val="auto"/>
          <w:kern w:val="0"/>
        </w:rPr>
        <w:t>真</w:t>
      </w:r>
      <w:r>
        <w:rPr>
          <w:rFonts w:hint="eastAsia" w:ascii="宋体" w:hAnsi="宋体" w:cs="宋体"/>
          <w:color w:val="auto"/>
          <w:kern w:val="0"/>
          <w:highlight w:val="none"/>
        </w:rPr>
        <w:t>：</w:t>
      </w:r>
      <w:r>
        <w:rPr>
          <w:rFonts w:hint="eastAsia" w:ascii="宋体" w:hAnsi="宋体" w:cs="宋体"/>
          <w:color w:val="auto"/>
          <w:kern w:val="0"/>
          <w:highlight w:val="none"/>
        </w:rPr>
        <w:tab/>
      </w:r>
    </w:p>
    <w:p>
      <w:pPr>
        <w:snapToGrid w:val="0"/>
        <w:spacing w:line="240" w:lineRule="auto"/>
        <w:ind w:firstLine="2940" w:firstLineChars="1400"/>
        <w:rPr>
          <w:rFonts w:hint="eastAsia" w:ascii="宋体" w:hAnsi="宋体" w:cs="宋体"/>
          <w:color w:val="auto"/>
          <w:kern w:val="0"/>
        </w:rPr>
      </w:pPr>
      <w:r>
        <w:rPr>
          <w:rFonts w:hint="eastAsia" w:ascii="宋体" w:hAnsi="宋体" w:cs="宋体"/>
          <w:color w:val="auto"/>
          <w:kern w:val="0"/>
        </w:rPr>
        <w:t>邮政编码</w:t>
      </w:r>
      <w:r>
        <w:rPr>
          <w:rFonts w:hint="eastAsia" w:ascii="宋体" w:hAnsi="宋体" w:cs="宋体"/>
          <w:color w:val="auto"/>
          <w:kern w:val="0"/>
          <w:highlight w:val="none"/>
        </w:rPr>
        <w:t>：</w:t>
      </w:r>
      <w:r>
        <w:rPr>
          <w:rFonts w:hint="eastAsia" w:ascii="宋体" w:hAnsi="宋体" w:cs="宋体"/>
          <w:color w:val="auto"/>
          <w:kern w:val="0"/>
          <w:highlight w:val="none"/>
        </w:rPr>
        <w:tab/>
      </w:r>
    </w:p>
    <w:p>
      <w:pPr>
        <w:snapToGrid w:val="0"/>
        <w:spacing w:line="240" w:lineRule="auto"/>
        <w:ind w:firstLine="6510" w:firstLineChars="3100"/>
        <w:jc w:val="center"/>
        <w:outlineLvl w:val="0"/>
        <w:rPr>
          <w:rFonts w:hint="eastAsia" w:ascii="宋体" w:hAnsi="宋体" w:cs="宋体"/>
          <w:color w:val="auto"/>
          <w:kern w:val="0"/>
        </w:rPr>
      </w:pPr>
      <w:r>
        <w:rPr>
          <w:rFonts w:hint="eastAsia" w:ascii="宋体" w:hAnsi="宋体" w:cs="宋体"/>
          <w:color w:val="auto"/>
          <w:kern w:val="0"/>
        </w:rPr>
        <w:t>年 月</w:t>
      </w:r>
      <w:r>
        <w:rPr>
          <w:rFonts w:hint="eastAsia" w:ascii="宋体" w:hAnsi="宋体" w:cs="宋体"/>
          <w:color w:val="auto"/>
          <w:kern w:val="0"/>
        </w:rPr>
        <w:tab/>
      </w:r>
      <w:r>
        <w:rPr>
          <w:rFonts w:hint="eastAsia" w:ascii="宋体" w:hAnsi="宋体" w:cs="宋体"/>
          <w:color w:val="auto"/>
          <w:kern w:val="0"/>
        </w:rPr>
        <w:t>日</w:t>
      </w:r>
    </w:p>
    <w:p>
      <w:pPr>
        <w:snapToGrid w:val="0"/>
        <w:spacing w:line="360" w:lineRule="auto"/>
        <w:ind w:firstLine="0" w:firstLineChars="0"/>
        <w:jc w:val="center"/>
        <w:outlineLvl w:val="0"/>
        <w:rPr>
          <w:rFonts w:hint="eastAsia" w:ascii="宋体" w:hAnsi="宋体" w:cs="宋体"/>
          <w:b/>
          <w:bCs/>
          <w:color w:val="auto"/>
          <w:kern w:val="0"/>
          <w:sz w:val="24"/>
          <w:szCs w:val="24"/>
        </w:rPr>
      </w:pPr>
      <w:bookmarkStart w:id="212" w:name="_Toc25917"/>
      <w:bookmarkStart w:id="213" w:name="_Toc40699940"/>
      <w:bookmarkStart w:id="214" w:name="_Toc47023137"/>
      <w:bookmarkStart w:id="215" w:name="_Toc20884"/>
    </w:p>
    <w:p>
      <w:pPr>
        <w:snapToGrid w:val="0"/>
        <w:spacing w:line="360" w:lineRule="auto"/>
        <w:ind w:firstLine="0" w:firstLineChars="0"/>
        <w:jc w:val="center"/>
        <w:outlineLvl w:val="0"/>
        <w:rPr>
          <w:rFonts w:hint="eastAsia" w:ascii="宋体" w:hAnsi="宋体" w:cs="宋体"/>
          <w:b/>
          <w:bCs/>
          <w:color w:val="auto"/>
          <w:kern w:val="0"/>
          <w:sz w:val="24"/>
          <w:szCs w:val="24"/>
        </w:rPr>
      </w:pPr>
      <w:r>
        <w:rPr>
          <w:rFonts w:hint="eastAsia" w:ascii="宋体" w:hAnsi="宋体" w:cs="宋体"/>
          <w:b/>
          <w:bCs/>
          <w:color w:val="auto"/>
          <w:kern w:val="0"/>
          <w:sz w:val="24"/>
          <w:szCs w:val="24"/>
        </w:rPr>
        <w:t>二、法定代表人（单位负责人）身份证明</w:t>
      </w:r>
      <w:bookmarkEnd w:id="212"/>
      <w:bookmarkEnd w:id="213"/>
      <w:bookmarkEnd w:id="214"/>
      <w:bookmarkEnd w:id="215"/>
    </w:p>
    <w:p>
      <w:pPr>
        <w:snapToGrid w:val="0"/>
        <w:spacing w:line="360" w:lineRule="auto"/>
        <w:rPr>
          <w:rFonts w:hint="eastAsia" w:ascii="宋体" w:hAnsi="宋体" w:cs="宋体"/>
          <w:color w:val="auto"/>
          <w:kern w:val="0"/>
          <w:u w:val="single"/>
        </w:rPr>
      </w:pPr>
      <w:r>
        <w:rPr>
          <w:rFonts w:hint="eastAsia" w:ascii="宋体" w:hAnsi="宋体" w:cs="宋体"/>
          <w:color w:val="auto"/>
          <w:kern w:val="0"/>
        </w:rPr>
        <w:t>投标人名称</w:t>
      </w:r>
      <w:r>
        <w:rPr>
          <w:rFonts w:hint="eastAsia" w:ascii="宋体" w:hAnsi="宋体" w:cs="宋体"/>
          <w:color w:val="auto"/>
          <w:kern w:val="0"/>
          <w:highlight w:val="none"/>
        </w:rPr>
        <w:t>：</w:t>
      </w:r>
      <w:r>
        <w:rPr>
          <w:rFonts w:hint="eastAsia" w:ascii="宋体" w:hAnsi="宋体" w:cs="宋体"/>
          <w:color w:val="auto"/>
          <w:kern w:val="0"/>
          <w:highlight w:val="none"/>
          <w:u w:val="single"/>
        </w:rPr>
        <w:tab/>
      </w:r>
    </w:p>
    <w:p>
      <w:pPr>
        <w:snapToGrid w:val="0"/>
        <w:spacing w:line="360" w:lineRule="auto"/>
        <w:rPr>
          <w:rFonts w:hint="eastAsia" w:ascii="宋体" w:hAnsi="宋体" w:cs="宋体"/>
          <w:color w:val="auto"/>
          <w:kern w:val="0"/>
        </w:rPr>
      </w:pPr>
    </w:p>
    <w:p>
      <w:pPr>
        <w:snapToGrid w:val="0"/>
        <w:spacing w:line="360" w:lineRule="auto"/>
        <w:rPr>
          <w:rFonts w:hint="eastAsia" w:ascii="宋体" w:hAnsi="宋体" w:cs="宋体"/>
          <w:color w:val="auto"/>
          <w:kern w:val="0"/>
        </w:rPr>
      </w:pPr>
      <w:r>
        <w:rPr>
          <w:rFonts w:hint="eastAsia" w:ascii="宋体" w:hAnsi="宋体" w:cs="宋体"/>
          <w:color w:val="auto"/>
          <w:kern w:val="0"/>
        </w:rPr>
        <w:t>姓名</w:t>
      </w:r>
      <w:r>
        <w:rPr>
          <w:rFonts w:hint="eastAsia" w:ascii="宋体" w:hAnsi="宋体" w:cs="宋体"/>
          <w:color w:val="auto"/>
          <w:kern w:val="0"/>
          <w:highlight w:val="none"/>
        </w:rPr>
        <w:t>：</w:t>
      </w:r>
      <w:r>
        <w:rPr>
          <w:rFonts w:hint="eastAsia" w:ascii="宋体" w:hAnsi="宋体" w:cs="宋体"/>
          <w:color w:val="auto"/>
          <w:kern w:val="0"/>
          <w:highlight w:val="none"/>
          <w:u w:val="single"/>
        </w:rPr>
        <w:tab/>
      </w:r>
      <w:r>
        <w:rPr>
          <w:rFonts w:hint="eastAsia" w:ascii="宋体" w:hAnsi="宋体" w:cs="宋体"/>
          <w:color w:val="auto"/>
          <w:kern w:val="0"/>
        </w:rPr>
        <w:t>性别</w:t>
      </w:r>
      <w:r>
        <w:rPr>
          <w:rFonts w:hint="eastAsia" w:ascii="宋体" w:hAnsi="宋体" w:cs="宋体"/>
          <w:color w:val="auto"/>
          <w:kern w:val="0"/>
          <w:highlight w:val="none"/>
        </w:rPr>
        <w:t>：</w:t>
      </w:r>
      <w:r>
        <w:rPr>
          <w:rFonts w:hint="eastAsia" w:ascii="宋体" w:hAnsi="宋体" w:cs="宋体"/>
          <w:color w:val="auto"/>
          <w:kern w:val="0"/>
          <w:highlight w:val="none"/>
          <w:u w:val="single"/>
        </w:rPr>
        <w:tab/>
      </w:r>
      <w:r>
        <w:rPr>
          <w:rFonts w:hint="eastAsia" w:ascii="宋体" w:hAnsi="宋体" w:cs="宋体"/>
          <w:color w:val="auto"/>
          <w:kern w:val="0"/>
        </w:rPr>
        <w:t>年龄</w:t>
      </w:r>
      <w:r>
        <w:rPr>
          <w:rFonts w:hint="eastAsia" w:ascii="宋体" w:hAnsi="宋体" w:cs="宋体"/>
          <w:color w:val="auto"/>
          <w:kern w:val="0"/>
          <w:highlight w:val="none"/>
        </w:rPr>
        <w:t>：</w:t>
      </w:r>
      <w:r>
        <w:rPr>
          <w:rFonts w:hint="eastAsia" w:ascii="宋体" w:hAnsi="宋体" w:cs="宋体"/>
          <w:color w:val="auto"/>
          <w:kern w:val="0"/>
          <w:highlight w:val="none"/>
          <w:u w:val="single"/>
        </w:rPr>
        <w:tab/>
      </w:r>
      <w:r>
        <w:rPr>
          <w:rFonts w:hint="eastAsia" w:ascii="宋体" w:hAnsi="宋体" w:cs="宋体"/>
          <w:color w:val="auto"/>
          <w:kern w:val="0"/>
        </w:rPr>
        <w:t>职务</w:t>
      </w:r>
      <w:r>
        <w:rPr>
          <w:rFonts w:hint="eastAsia" w:ascii="宋体" w:hAnsi="宋体" w:cs="宋体"/>
          <w:color w:val="auto"/>
          <w:kern w:val="0"/>
          <w:highlight w:val="none"/>
        </w:rPr>
        <w:t>：</w:t>
      </w:r>
      <w:r>
        <w:rPr>
          <w:rFonts w:hint="eastAsia" w:ascii="宋体" w:hAnsi="宋体" w:cs="宋体"/>
          <w:color w:val="auto"/>
          <w:kern w:val="0"/>
          <w:highlight w:val="none"/>
        </w:rPr>
        <w:tab/>
      </w:r>
    </w:p>
    <w:p>
      <w:pPr>
        <w:snapToGrid w:val="0"/>
        <w:spacing w:line="360" w:lineRule="auto"/>
        <w:rPr>
          <w:rFonts w:hint="eastAsia" w:ascii="宋体" w:hAnsi="宋体" w:cs="宋体"/>
          <w:color w:val="auto"/>
          <w:kern w:val="0"/>
        </w:rPr>
      </w:pPr>
    </w:p>
    <w:p>
      <w:pPr>
        <w:snapToGrid w:val="0"/>
        <w:spacing w:line="360" w:lineRule="auto"/>
        <w:rPr>
          <w:rFonts w:hint="eastAsia" w:ascii="宋体" w:hAnsi="宋体" w:cs="宋体"/>
          <w:color w:val="auto"/>
          <w:kern w:val="0"/>
        </w:rPr>
      </w:pPr>
      <w:r>
        <w:rPr>
          <w:rFonts w:hint="eastAsia" w:ascii="宋体" w:hAnsi="宋体" w:cs="宋体"/>
          <w:color w:val="auto"/>
          <w:kern w:val="0"/>
        </w:rPr>
        <w:t>系</w:t>
      </w:r>
      <w:r>
        <w:rPr>
          <w:rFonts w:hint="eastAsia" w:ascii="宋体" w:hAnsi="宋体" w:cs="宋体"/>
          <w:color w:val="auto"/>
          <w:kern w:val="0"/>
          <w:u w:val="single"/>
        </w:rPr>
        <w:tab/>
      </w:r>
      <w:r>
        <w:rPr>
          <w:rFonts w:hint="eastAsia" w:ascii="宋体" w:hAnsi="宋体" w:cs="宋体"/>
          <w:color w:val="auto"/>
          <w:kern w:val="0"/>
          <w:u w:val="single"/>
        </w:rPr>
        <w:t xml:space="preserve">        </w:t>
      </w:r>
      <w:r>
        <w:rPr>
          <w:rFonts w:hint="eastAsia" w:ascii="宋体" w:hAnsi="宋体" w:cs="宋体"/>
          <w:color w:val="auto"/>
          <w:kern w:val="0"/>
        </w:rPr>
        <w:t>（投标人名称）的法定代表人（单位负责人）。</w:t>
      </w:r>
    </w:p>
    <w:p>
      <w:pPr>
        <w:snapToGrid w:val="0"/>
        <w:spacing w:line="360" w:lineRule="auto"/>
        <w:rPr>
          <w:rFonts w:hint="eastAsia" w:ascii="宋体" w:hAnsi="宋体" w:cs="宋体"/>
          <w:color w:val="auto"/>
          <w:kern w:val="0"/>
        </w:rPr>
      </w:pPr>
    </w:p>
    <w:p>
      <w:pPr>
        <w:snapToGrid w:val="0"/>
        <w:spacing w:line="360" w:lineRule="auto"/>
        <w:rPr>
          <w:rFonts w:hint="eastAsia" w:ascii="宋体" w:hAnsi="宋体" w:cs="宋体"/>
          <w:color w:val="auto"/>
          <w:kern w:val="0"/>
        </w:rPr>
      </w:pPr>
      <w:r>
        <w:rPr>
          <w:rFonts w:hint="eastAsia" w:ascii="宋体" w:hAnsi="宋体" w:cs="宋体"/>
          <w:color w:val="auto"/>
          <w:kern w:val="0"/>
        </w:rPr>
        <w:t>特此证明。</w:t>
      </w:r>
    </w:p>
    <w:p>
      <w:pPr>
        <w:snapToGrid w:val="0"/>
        <w:spacing w:line="360" w:lineRule="auto"/>
        <w:rPr>
          <w:rFonts w:hint="eastAsia" w:ascii="宋体" w:hAnsi="宋体" w:cs="宋体"/>
          <w:color w:val="auto"/>
          <w:kern w:val="0"/>
        </w:rPr>
      </w:pPr>
    </w:p>
    <w:p>
      <w:pPr>
        <w:snapToGrid w:val="0"/>
        <w:spacing w:line="360" w:lineRule="auto"/>
        <w:rPr>
          <w:rFonts w:hint="eastAsia" w:ascii="宋体" w:hAnsi="宋体" w:cs="宋体"/>
          <w:color w:val="auto"/>
          <w:kern w:val="0"/>
        </w:rPr>
      </w:pPr>
      <w:r>
        <w:rPr>
          <w:rFonts w:hint="eastAsia" w:ascii="宋体" w:hAnsi="宋体" w:cs="宋体"/>
          <w:color w:val="auto"/>
          <w:kern w:val="0"/>
        </w:rPr>
        <w:t>附：法定代表人（单位负责人）身份证原件复印件或扫描件。</w:t>
      </w:r>
    </w:p>
    <w:p>
      <w:pPr>
        <w:snapToGrid w:val="0"/>
        <w:spacing w:line="360" w:lineRule="auto"/>
        <w:rPr>
          <w:rFonts w:hint="eastAsia" w:ascii="宋体" w:hAnsi="宋体" w:cs="宋体"/>
          <w:color w:val="auto"/>
          <w:kern w:val="0"/>
        </w:rPr>
      </w:pPr>
    </w:p>
    <w:p>
      <w:pPr>
        <w:snapToGrid w:val="0"/>
        <w:spacing w:line="360" w:lineRule="auto"/>
        <w:rPr>
          <w:rFonts w:hint="eastAsia" w:ascii="宋体" w:hAnsi="宋体" w:cs="宋体"/>
          <w:color w:val="auto"/>
          <w:kern w:val="0"/>
        </w:rPr>
      </w:pPr>
      <w:r>
        <w:rPr>
          <w:rFonts w:hint="eastAsia" w:ascii="宋体" w:hAnsi="宋体" w:cs="宋体"/>
          <w:color w:val="auto"/>
          <w:kern w:val="0"/>
        </w:rPr>
        <w:t>注：本身份证明需由投标人加盖单位公章。</w:t>
      </w:r>
    </w:p>
    <w:p>
      <w:pPr>
        <w:snapToGrid w:val="0"/>
        <w:spacing w:line="360" w:lineRule="auto"/>
        <w:rPr>
          <w:rFonts w:hint="eastAsia" w:ascii="宋体" w:hAnsi="宋体" w:cs="宋体"/>
          <w:color w:val="auto"/>
          <w:kern w:val="0"/>
        </w:rPr>
      </w:pPr>
    </w:p>
    <w:p>
      <w:pPr>
        <w:snapToGrid w:val="0"/>
        <w:spacing w:line="360" w:lineRule="auto"/>
        <w:ind w:firstLine="4830" w:firstLineChars="2300"/>
        <w:rPr>
          <w:rFonts w:hint="eastAsia" w:ascii="宋体" w:hAnsi="宋体" w:cs="宋体"/>
          <w:color w:val="auto"/>
          <w:kern w:val="0"/>
        </w:rPr>
      </w:pPr>
      <w:r>
        <w:rPr>
          <w:rFonts w:hint="eastAsia" w:ascii="宋体" w:hAnsi="宋体" w:cs="宋体"/>
          <w:color w:val="auto"/>
          <w:kern w:val="0"/>
        </w:rPr>
        <w:t>投标人</w:t>
      </w:r>
      <w:r>
        <w:rPr>
          <w:rFonts w:hint="eastAsia" w:ascii="宋体" w:hAnsi="宋体" w:cs="宋体"/>
          <w:color w:val="auto"/>
          <w:kern w:val="0"/>
          <w:highlight w:val="none"/>
        </w:rPr>
        <w:t>：</w:t>
      </w:r>
      <w:r>
        <w:rPr>
          <w:rFonts w:hint="eastAsia" w:ascii="宋体" w:hAnsi="宋体" w:cs="宋体"/>
          <w:color w:val="auto"/>
          <w:kern w:val="0"/>
          <w:highlight w:val="none"/>
          <w:u w:val="single"/>
        </w:rPr>
        <w:tab/>
      </w:r>
      <w:r>
        <w:rPr>
          <w:rFonts w:hint="eastAsia" w:ascii="宋体" w:hAnsi="宋体" w:cs="宋体"/>
          <w:color w:val="auto"/>
          <w:kern w:val="0"/>
        </w:rPr>
        <w:t>（单位公章）</w:t>
      </w:r>
    </w:p>
    <w:p>
      <w:pPr>
        <w:snapToGrid w:val="0"/>
        <w:spacing w:line="360" w:lineRule="auto"/>
        <w:rPr>
          <w:rFonts w:hint="eastAsia" w:ascii="宋体" w:hAnsi="宋体" w:cs="宋体"/>
          <w:color w:val="auto"/>
          <w:kern w:val="0"/>
        </w:rPr>
      </w:pPr>
    </w:p>
    <w:p>
      <w:pPr>
        <w:snapToGrid w:val="0"/>
        <w:spacing w:line="360" w:lineRule="auto"/>
        <w:ind w:firstLine="5670" w:firstLineChars="2700"/>
        <w:rPr>
          <w:rFonts w:hint="eastAsia" w:ascii="宋体" w:hAnsi="宋体" w:cs="宋体"/>
          <w:color w:val="auto"/>
          <w:kern w:val="0"/>
        </w:rPr>
      </w:pPr>
      <w:r>
        <w:rPr>
          <w:rFonts w:hint="eastAsia" w:ascii="宋体" w:hAnsi="宋体" w:cs="宋体"/>
          <w:color w:val="auto"/>
          <w:kern w:val="0"/>
        </w:rPr>
        <w:tab/>
      </w:r>
      <w:r>
        <w:rPr>
          <w:rFonts w:hint="eastAsia" w:ascii="宋体" w:hAnsi="宋体" w:cs="宋体"/>
          <w:color w:val="auto"/>
          <w:kern w:val="0"/>
        </w:rPr>
        <w:t>年</w:t>
      </w:r>
      <w:r>
        <w:rPr>
          <w:rFonts w:hint="eastAsia" w:ascii="宋体" w:hAnsi="宋体" w:cs="宋体"/>
          <w:color w:val="auto"/>
          <w:kern w:val="0"/>
        </w:rPr>
        <w:tab/>
      </w:r>
      <w:r>
        <w:rPr>
          <w:rFonts w:hint="eastAsia" w:ascii="宋体" w:hAnsi="宋体" w:cs="宋体"/>
          <w:color w:val="auto"/>
          <w:kern w:val="0"/>
        </w:rPr>
        <w:t>月</w:t>
      </w:r>
      <w:r>
        <w:rPr>
          <w:rFonts w:hint="eastAsia" w:ascii="宋体" w:hAnsi="宋体" w:cs="宋体"/>
          <w:color w:val="auto"/>
          <w:kern w:val="0"/>
        </w:rPr>
        <w:tab/>
      </w:r>
      <w:r>
        <w:rPr>
          <w:rFonts w:hint="eastAsia" w:ascii="宋体" w:hAnsi="宋体" w:cs="宋体"/>
          <w:color w:val="auto"/>
          <w:kern w:val="0"/>
        </w:rPr>
        <w:t>日</w:t>
      </w:r>
    </w:p>
    <w:p>
      <w:pPr>
        <w:snapToGrid w:val="0"/>
        <w:spacing w:line="360" w:lineRule="auto"/>
        <w:rPr>
          <w:rFonts w:hint="eastAsia" w:ascii="宋体" w:hAnsi="宋体" w:cs="宋体"/>
          <w:color w:val="auto"/>
          <w:kern w:val="0"/>
        </w:rPr>
      </w:pPr>
    </w:p>
    <w:p>
      <w:pPr>
        <w:pStyle w:val="4"/>
        <w:snapToGrid w:val="0"/>
        <w:spacing w:before="0" w:after="0" w:line="360" w:lineRule="auto"/>
        <w:outlineLvl w:val="0"/>
        <w:rPr>
          <w:rFonts w:hint="eastAsia" w:ascii="宋体" w:hAnsi="宋体" w:cs="宋体"/>
          <w:color w:val="auto"/>
        </w:rPr>
      </w:pPr>
      <w:r>
        <w:rPr>
          <w:rFonts w:hint="eastAsia" w:ascii="宋体" w:hAnsi="宋体" w:cs="宋体"/>
          <w:color w:val="auto"/>
        </w:rPr>
        <w:br w:type="page"/>
      </w:r>
      <w:bookmarkStart w:id="216" w:name="_Toc2811"/>
      <w:bookmarkStart w:id="217" w:name="_Toc30526"/>
      <w:bookmarkStart w:id="218" w:name="_Toc40699941"/>
      <w:bookmarkStart w:id="219" w:name="_Toc21951"/>
      <w:bookmarkStart w:id="220" w:name="_Toc47023138"/>
      <w:r>
        <w:rPr>
          <w:rFonts w:hint="eastAsia" w:ascii="宋体" w:hAnsi="宋体" w:cs="宋体"/>
          <w:color w:val="auto"/>
        </w:rPr>
        <w:t>三、授权委托书</w:t>
      </w:r>
      <w:bookmarkEnd w:id="216"/>
      <w:bookmarkEnd w:id="217"/>
      <w:bookmarkEnd w:id="218"/>
      <w:bookmarkEnd w:id="219"/>
      <w:bookmarkEnd w:id="220"/>
    </w:p>
    <w:p>
      <w:pPr>
        <w:snapToGrid w:val="0"/>
        <w:spacing w:line="360" w:lineRule="auto"/>
        <w:rPr>
          <w:rFonts w:hint="eastAsia" w:ascii="宋体" w:hAnsi="宋体" w:cs="宋体"/>
          <w:color w:val="auto"/>
          <w:kern w:val="0"/>
        </w:rPr>
      </w:pPr>
      <w:r>
        <w:rPr>
          <w:rFonts w:hint="eastAsia" w:ascii="宋体" w:hAnsi="宋体" w:cs="宋体"/>
          <w:color w:val="auto"/>
          <w:kern w:val="0"/>
        </w:rPr>
        <w:t>本人</w:t>
      </w:r>
      <w:r>
        <w:rPr>
          <w:rFonts w:hint="eastAsia" w:ascii="宋体" w:hAnsi="宋体" w:cs="宋体"/>
          <w:color w:val="auto"/>
          <w:kern w:val="0"/>
          <w:u w:val="single"/>
        </w:rPr>
        <w:tab/>
      </w:r>
      <w:r>
        <w:rPr>
          <w:rFonts w:hint="eastAsia" w:ascii="宋体" w:hAnsi="宋体" w:cs="宋体"/>
          <w:color w:val="auto"/>
          <w:kern w:val="0"/>
        </w:rPr>
        <w:t>（姓名）系</w:t>
      </w:r>
      <w:r>
        <w:rPr>
          <w:rFonts w:hint="eastAsia" w:ascii="宋体" w:hAnsi="宋体" w:cs="宋体"/>
          <w:color w:val="auto"/>
          <w:kern w:val="0"/>
          <w:u w:val="single"/>
        </w:rPr>
        <w:tab/>
      </w:r>
      <w:r>
        <w:rPr>
          <w:rFonts w:hint="eastAsia" w:ascii="宋体" w:hAnsi="宋体" w:cs="宋体"/>
          <w:color w:val="auto"/>
          <w:kern w:val="0"/>
        </w:rPr>
        <w:t>（投标人名称）的法定代表人（单位负责人），现委托</w:t>
      </w:r>
      <w:r>
        <w:rPr>
          <w:rFonts w:hint="eastAsia" w:ascii="宋体" w:hAnsi="宋体" w:cs="宋体"/>
          <w:color w:val="auto"/>
          <w:kern w:val="0"/>
          <w:u w:val="single"/>
        </w:rPr>
        <w:tab/>
      </w:r>
      <w:r>
        <w:rPr>
          <w:rFonts w:hint="eastAsia" w:ascii="宋体" w:hAnsi="宋体" w:cs="宋体"/>
          <w:color w:val="auto"/>
          <w:kern w:val="0"/>
        </w:rPr>
        <w:t>（姓名）为我方代理人。代理人根据授权，以我方名义签署、澄清确认、递交、撤回、修改设备采购招标项目投标文件、签订合同和处理有关事宜，其法律后果由我方承担。</w:t>
      </w:r>
    </w:p>
    <w:p>
      <w:pPr>
        <w:snapToGrid w:val="0"/>
        <w:spacing w:line="360" w:lineRule="auto"/>
        <w:rPr>
          <w:rFonts w:hint="eastAsia" w:ascii="宋体" w:hAnsi="宋体" w:cs="宋体"/>
          <w:color w:val="auto"/>
          <w:kern w:val="0"/>
        </w:rPr>
      </w:pPr>
      <w:r>
        <w:rPr>
          <w:rFonts w:hint="eastAsia" w:ascii="宋体" w:hAnsi="宋体" w:cs="宋体"/>
          <w:color w:val="auto"/>
          <w:kern w:val="0"/>
        </w:rPr>
        <w:t>委托期限</w:t>
      </w:r>
      <w:r>
        <w:rPr>
          <w:rFonts w:hint="eastAsia" w:ascii="宋体" w:hAnsi="宋体" w:cs="宋体"/>
          <w:color w:val="auto"/>
          <w:kern w:val="0"/>
          <w:highlight w:val="none"/>
        </w:rPr>
        <w:t>：</w:t>
      </w:r>
      <w:r>
        <w:rPr>
          <w:rFonts w:hint="eastAsia" w:ascii="宋体" w:hAnsi="宋体" w:cs="宋体"/>
          <w:color w:val="auto"/>
          <w:kern w:val="0"/>
          <w:highlight w:val="none"/>
          <w:u w:val="single"/>
        </w:rPr>
        <w:tab/>
      </w:r>
      <w:r>
        <w:rPr>
          <w:rFonts w:hint="eastAsia" w:ascii="宋体" w:hAnsi="宋体" w:cs="宋体"/>
          <w:color w:val="auto"/>
          <w:kern w:val="0"/>
          <w:u w:val="single"/>
        </w:rPr>
        <w:tab/>
      </w:r>
      <w:r>
        <w:rPr>
          <w:rFonts w:hint="eastAsia" w:ascii="宋体" w:hAnsi="宋体" w:cs="宋体"/>
          <w:color w:val="auto"/>
          <w:kern w:val="0"/>
          <w:u w:val="single"/>
        </w:rPr>
        <w:t xml:space="preserve">       </w:t>
      </w:r>
      <w:r>
        <w:rPr>
          <w:rFonts w:hint="eastAsia" w:ascii="宋体" w:hAnsi="宋体" w:cs="宋体"/>
          <w:color w:val="auto"/>
          <w:kern w:val="0"/>
        </w:rPr>
        <w:t>。</w:t>
      </w:r>
    </w:p>
    <w:p>
      <w:pPr>
        <w:snapToGrid w:val="0"/>
        <w:spacing w:line="360" w:lineRule="auto"/>
        <w:rPr>
          <w:rFonts w:hint="eastAsia" w:ascii="宋体" w:hAnsi="宋体" w:cs="宋体"/>
          <w:color w:val="auto"/>
          <w:kern w:val="0"/>
        </w:rPr>
      </w:pPr>
      <w:r>
        <w:rPr>
          <w:rFonts w:hint="eastAsia" w:ascii="宋体" w:hAnsi="宋体" w:cs="宋体"/>
          <w:color w:val="auto"/>
          <w:kern w:val="0"/>
        </w:rPr>
        <w:t>代理人无转委托权。</w:t>
      </w:r>
    </w:p>
    <w:p>
      <w:pPr>
        <w:snapToGrid w:val="0"/>
        <w:spacing w:line="360" w:lineRule="auto"/>
        <w:rPr>
          <w:rFonts w:hint="eastAsia" w:ascii="宋体" w:hAnsi="宋体" w:cs="宋体"/>
          <w:color w:val="auto"/>
          <w:kern w:val="0"/>
        </w:rPr>
      </w:pPr>
      <w:r>
        <w:rPr>
          <w:rFonts w:hint="eastAsia" w:ascii="宋体" w:hAnsi="宋体" w:cs="宋体"/>
          <w:color w:val="auto"/>
          <w:kern w:val="0"/>
        </w:rPr>
        <w:t>附：法定代表人（单位负责人）身份证原件复印件或扫描件及委托代理人身份证原件复印件或扫描件</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4"/>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3144" w:type="dxa"/>
            <w:noWrap w:val="0"/>
            <w:vAlign w:val="center"/>
          </w:tcPr>
          <w:p>
            <w:pPr>
              <w:pStyle w:val="40"/>
              <w:snapToGrid w:val="0"/>
              <w:spacing w:line="360" w:lineRule="auto"/>
              <w:jc w:val="center"/>
              <w:rPr>
                <w:rFonts w:hint="eastAsia" w:hAnsi="宋体" w:cs="宋体"/>
                <w:color w:val="auto"/>
                <w:sz w:val="21"/>
                <w:szCs w:val="21"/>
                <w:lang w:eastAsia="zh-CN"/>
              </w:rPr>
            </w:pPr>
            <w:r>
              <w:rPr>
                <w:rFonts w:hint="eastAsia" w:hAnsi="宋体" w:cs="宋体"/>
                <w:color w:val="auto"/>
                <w:sz w:val="21"/>
                <w:szCs w:val="21"/>
                <w:lang w:eastAsia="zh-CN"/>
              </w:rPr>
              <w:t>法定代表人（单位负责人）</w:t>
            </w:r>
          </w:p>
          <w:p>
            <w:pPr>
              <w:pStyle w:val="40"/>
              <w:snapToGrid w:val="0"/>
              <w:spacing w:line="360" w:lineRule="auto"/>
              <w:jc w:val="center"/>
              <w:rPr>
                <w:rFonts w:hint="eastAsia" w:hAnsi="宋体" w:cs="宋体"/>
                <w:color w:val="auto"/>
                <w:sz w:val="21"/>
                <w:szCs w:val="21"/>
                <w:lang w:eastAsia="zh-CN"/>
              </w:rPr>
            </w:pPr>
            <w:r>
              <w:rPr>
                <w:rFonts w:hint="eastAsia" w:hAnsi="宋体" w:cs="宋体"/>
                <w:color w:val="auto"/>
                <w:sz w:val="21"/>
                <w:szCs w:val="21"/>
              </w:rPr>
              <w:t>身份证</w:t>
            </w:r>
            <w:r>
              <w:rPr>
                <w:rFonts w:hint="eastAsia" w:hAnsi="宋体" w:cs="宋体"/>
                <w:color w:val="auto"/>
                <w:sz w:val="21"/>
                <w:szCs w:val="21"/>
                <w:lang w:eastAsia="zh-CN"/>
              </w:rPr>
              <w:t>正面</w:t>
            </w:r>
          </w:p>
        </w:tc>
        <w:tc>
          <w:tcPr>
            <w:tcW w:w="3005" w:type="dxa"/>
            <w:noWrap w:val="0"/>
            <w:vAlign w:val="center"/>
          </w:tcPr>
          <w:p>
            <w:pPr>
              <w:pStyle w:val="40"/>
              <w:snapToGrid w:val="0"/>
              <w:spacing w:line="360" w:lineRule="auto"/>
              <w:jc w:val="center"/>
              <w:rPr>
                <w:rFonts w:hint="eastAsia" w:hAnsi="宋体" w:cs="宋体"/>
                <w:color w:val="auto"/>
                <w:sz w:val="21"/>
                <w:szCs w:val="21"/>
                <w:lang w:eastAsia="zh-CN"/>
              </w:rPr>
            </w:pPr>
            <w:r>
              <w:rPr>
                <w:rFonts w:hint="eastAsia" w:hAnsi="宋体" w:cs="宋体"/>
                <w:color w:val="auto"/>
                <w:sz w:val="21"/>
                <w:szCs w:val="21"/>
                <w:lang w:eastAsia="zh-CN"/>
              </w:rPr>
              <w:t>法定代表人（单位负责人）</w:t>
            </w:r>
          </w:p>
          <w:p>
            <w:pPr>
              <w:pStyle w:val="40"/>
              <w:snapToGrid w:val="0"/>
              <w:spacing w:line="360" w:lineRule="auto"/>
              <w:jc w:val="center"/>
              <w:rPr>
                <w:rFonts w:hint="eastAsia" w:hAnsi="宋体" w:cs="宋体"/>
                <w:color w:val="auto"/>
                <w:sz w:val="21"/>
                <w:szCs w:val="21"/>
              </w:rPr>
            </w:pPr>
            <w:r>
              <w:rPr>
                <w:rFonts w:hint="eastAsia" w:hAnsi="宋体" w:cs="宋体"/>
                <w:color w:val="auto"/>
                <w:sz w:val="21"/>
                <w:szCs w:val="21"/>
              </w:rPr>
              <w:t>身份证</w:t>
            </w:r>
            <w:r>
              <w:rPr>
                <w:rFonts w:hint="eastAsia" w:hAnsi="宋体" w:cs="宋体"/>
                <w:color w:val="auto"/>
                <w:sz w:val="21"/>
                <w:szCs w:val="21"/>
                <w:lang w:eastAsia="zh-CN"/>
              </w:rPr>
              <w:t>反面</w:t>
            </w:r>
          </w:p>
        </w:tc>
      </w:tr>
    </w:tbl>
    <w:p>
      <w:pPr>
        <w:pStyle w:val="40"/>
        <w:snapToGrid w:val="0"/>
        <w:spacing w:line="360" w:lineRule="auto"/>
        <w:rPr>
          <w:rFonts w:hint="eastAsia" w:hAnsi="宋体" w:cs="宋体"/>
          <w:color w:val="auto"/>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4"/>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3144" w:type="dxa"/>
            <w:noWrap w:val="0"/>
            <w:vAlign w:val="center"/>
          </w:tcPr>
          <w:p>
            <w:pPr>
              <w:pStyle w:val="40"/>
              <w:snapToGrid w:val="0"/>
              <w:spacing w:line="360" w:lineRule="auto"/>
              <w:jc w:val="center"/>
              <w:rPr>
                <w:rFonts w:hint="eastAsia" w:hAnsi="宋体" w:cs="宋体"/>
                <w:color w:val="auto"/>
                <w:sz w:val="21"/>
                <w:szCs w:val="21"/>
                <w:lang w:eastAsia="zh-CN"/>
              </w:rPr>
            </w:pPr>
            <w:r>
              <w:rPr>
                <w:rFonts w:hint="eastAsia" w:hAnsi="宋体" w:cs="宋体"/>
                <w:color w:val="auto"/>
                <w:sz w:val="21"/>
                <w:szCs w:val="21"/>
                <w:lang w:eastAsia="zh-CN"/>
              </w:rPr>
              <w:t>委托代理人</w:t>
            </w:r>
          </w:p>
          <w:p>
            <w:pPr>
              <w:pStyle w:val="40"/>
              <w:snapToGrid w:val="0"/>
              <w:spacing w:line="360" w:lineRule="auto"/>
              <w:jc w:val="center"/>
              <w:rPr>
                <w:rFonts w:hint="eastAsia" w:hAnsi="宋体" w:cs="宋体"/>
                <w:color w:val="auto"/>
                <w:sz w:val="21"/>
                <w:szCs w:val="21"/>
                <w:lang w:eastAsia="zh-CN"/>
              </w:rPr>
            </w:pPr>
            <w:r>
              <w:rPr>
                <w:rFonts w:hint="eastAsia" w:hAnsi="宋体" w:cs="宋体"/>
                <w:color w:val="auto"/>
                <w:sz w:val="21"/>
                <w:szCs w:val="21"/>
                <w:lang w:eastAsia="zh-CN"/>
              </w:rPr>
              <w:t>身份证正面</w:t>
            </w:r>
          </w:p>
        </w:tc>
        <w:tc>
          <w:tcPr>
            <w:tcW w:w="3005" w:type="dxa"/>
            <w:noWrap w:val="0"/>
            <w:vAlign w:val="center"/>
          </w:tcPr>
          <w:p>
            <w:pPr>
              <w:pStyle w:val="40"/>
              <w:snapToGrid w:val="0"/>
              <w:spacing w:line="360" w:lineRule="auto"/>
              <w:jc w:val="center"/>
              <w:rPr>
                <w:rFonts w:hint="eastAsia" w:hAnsi="宋体" w:cs="宋体"/>
                <w:color w:val="auto"/>
                <w:sz w:val="21"/>
                <w:szCs w:val="21"/>
                <w:lang w:eastAsia="zh-CN"/>
              </w:rPr>
            </w:pPr>
            <w:r>
              <w:rPr>
                <w:rFonts w:hint="eastAsia" w:hAnsi="宋体" w:cs="宋体"/>
                <w:color w:val="auto"/>
                <w:sz w:val="21"/>
                <w:szCs w:val="21"/>
                <w:lang w:eastAsia="zh-CN"/>
              </w:rPr>
              <w:t>委托代理人</w:t>
            </w:r>
          </w:p>
          <w:p>
            <w:pPr>
              <w:pStyle w:val="40"/>
              <w:snapToGrid w:val="0"/>
              <w:spacing w:line="360" w:lineRule="auto"/>
              <w:jc w:val="center"/>
              <w:rPr>
                <w:rFonts w:hint="eastAsia" w:hAnsi="宋体" w:cs="宋体"/>
                <w:color w:val="auto"/>
                <w:sz w:val="21"/>
                <w:szCs w:val="21"/>
                <w:lang w:eastAsia="zh-CN"/>
              </w:rPr>
            </w:pPr>
            <w:r>
              <w:rPr>
                <w:rFonts w:hint="eastAsia" w:hAnsi="宋体" w:cs="宋体"/>
                <w:color w:val="auto"/>
                <w:sz w:val="21"/>
                <w:szCs w:val="21"/>
                <w:lang w:eastAsia="zh-CN"/>
              </w:rPr>
              <w:t>身份证反面</w:t>
            </w:r>
          </w:p>
        </w:tc>
      </w:tr>
    </w:tbl>
    <w:p>
      <w:pPr>
        <w:snapToGrid w:val="0"/>
        <w:spacing w:line="360" w:lineRule="auto"/>
        <w:rPr>
          <w:rFonts w:hint="eastAsia" w:ascii="宋体" w:hAnsi="宋体" w:cs="宋体"/>
          <w:color w:val="auto"/>
          <w:kern w:val="0"/>
        </w:rPr>
      </w:pPr>
    </w:p>
    <w:p>
      <w:pPr>
        <w:snapToGrid w:val="0"/>
        <w:spacing w:line="360" w:lineRule="auto"/>
        <w:rPr>
          <w:rFonts w:hint="eastAsia" w:ascii="宋体" w:hAnsi="宋体" w:cs="宋体"/>
          <w:color w:val="auto"/>
          <w:kern w:val="0"/>
        </w:rPr>
      </w:pPr>
      <w:r>
        <w:rPr>
          <w:rFonts w:hint="eastAsia" w:ascii="宋体" w:hAnsi="宋体" w:cs="宋体"/>
          <w:color w:val="auto"/>
          <w:kern w:val="0"/>
        </w:rPr>
        <w:t>注：本授权委托书需由投标人加盖单位公章并由其法定代表人（单位负责人）和委托代理人签字。</w:t>
      </w:r>
    </w:p>
    <w:p>
      <w:pPr>
        <w:snapToGrid w:val="0"/>
        <w:spacing w:line="360" w:lineRule="auto"/>
        <w:ind w:firstLine="3990" w:firstLineChars="1900"/>
        <w:rPr>
          <w:rFonts w:hint="eastAsia" w:ascii="宋体" w:hAnsi="宋体" w:cs="宋体"/>
          <w:color w:val="auto"/>
          <w:kern w:val="0"/>
        </w:rPr>
      </w:pPr>
      <w:r>
        <w:rPr>
          <w:rFonts w:hint="eastAsia" w:ascii="宋体" w:hAnsi="宋体" w:cs="宋体"/>
          <w:color w:val="auto"/>
          <w:kern w:val="0"/>
        </w:rPr>
        <w:t>投标人</w:t>
      </w:r>
      <w:r>
        <w:rPr>
          <w:rFonts w:hint="eastAsia" w:ascii="宋体" w:hAnsi="宋体" w:cs="宋体"/>
          <w:color w:val="auto"/>
          <w:kern w:val="0"/>
          <w:highlight w:val="none"/>
        </w:rPr>
        <w:t>：</w:t>
      </w:r>
      <w:r>
        <w:rPr>
          <w:rFonts w:hint="eastAsia" w:ascii="宋体" w:hAnsi="宋体" w:cs="宋体"/>
          <w:color w:val="auto"/>
          <w:kern w:val="0"/>
          <w:highlight w:val="none"/>
          <w:u w:val="single"/>
        </w:rPr>
        <w:tab/>
      </w:r>
      <w:r>
        <w:rPr>
          <w:rFonts w:hint="eastAsia" w:ascii="宋体" w:hAnsi="宋体" w:cs="宋体"/>
          <w:color w:val="auto"/>
          <w:kern w:val="0"/>
          <w:u w:val="single"/>
        </w:rPr>
        <w:tab/>
      </w:r>
      <w:r>
        <w:rPr>
          <w:rFonts w:hint="eastAsia" w:ascii="宋体" w:hAnsi="宋体" w:cs="宋体"/>
          <w:color w:val="auto"/>
          <w:kern w:val="0"/>
          <w:u w:val="single"/>
        </w:rPr>
        <w:t xml:space="preserve">       </w:t>
      </w:r>
      <w:r>
        <w:rPr>
          <w:rFonts w:hint="eastAsia" w:ascii="宋体" w:hAnsi="宋体" w:cs="宋体"/>
          <w:color w:val="auto"/>
          <w:kern w:val="0"/>
        </w:rPr>
        <w:t>（单位公章）</w:t>
      </w:r>
    </w:p>
    <w:p>
      <w:pPr>
        <w:snapToGrid w:val="0"/>
        <w:spacing w:line="360" w:lineRule="auto"/>
        <w:ind w:firstLine="3990" w:firstLineChars="1900"/>
        <w:rPr>
          <w:rFonts w:hint="eastAsia" w:ascii="宋体" w:hAnsi="宋体" w:cs="宋体"/>
          <w:color w:val="auto"/>
          <w:kern w:val="0"/>
        </w:rPr>
      </w:pPr>
      <w:r>
        <w:rPr>
          <w:rFonts w:hint="eastAsia" w:ascii="宋体" w:hAnsi="宋体" w:cs="宋体"/>
          <w:color w:val="auto"/>
          <w:kern w:val="0"/>
        </w:rPr>
        <w:t>法定代表人（单位负责人）：</w:t>
      </w:r>
      <w:r>
        <w:rPr>
          <w:rFonts w:hint="eastAsia" w:ascii="宋体" w:hAnsi="宋体" w:cs="宋体"/>
          <w:color w:val="auto"/>
          <w:kern w:val="0"/>
          <w:u w:val="single"/>
        </w:rPr>
        <w:t xml:space="preserve">       </w:t>
      </w:r>
      <w:r>
        <w:rPr>
          <w:rFonts w:hint="eastAsia" w:ascii="宋体" w:hAnsi="宋体" w:cs="宋体"/>
          <w:color w:val="auto"/>
          <w:kern w:val="0"/>
        </w:rPr>
        <w:t>（签字）</w:t>
      </w:r>
    </w:p>
    <w:p>
      <w:pPr>
        <w:snapToGrid w:val="0"/>
        <w:spacing w:line="360" w:lineRule="auto"/>
        <w:ind w:firstLine="3990" w:firstLineChars="1900"/>
        <w:rPr>
          <w:rFonts w:hint="eastAsia" w:ascii="宋体" w:hAnsi="宋体" w:cs="宋体"/>
          <w:color w:val="auto"/>
          <w:kern w:val="0"/>
        </w:rPr>
      </w:pPr>
      <w:r>
        <w:rPr>
          <w:rFonts w:hint="eastAsia" w:ascii="宋体" w:hAnsi="宋体" w:cs="宋体"/>
          <w:color w:val="auto"/>
          <w:kern w:val="0"/>
        </w:rPr>
        <w:t>委托代理人</w:t>
      </w:r>
      <w:r>
        <w:rPr>
          <w:rFonts w:hint="eastAsia" w:ascii="宋体" w:hAnsi="宋体" w:cs="宋体"/>
          <w:color w:val="auto"/>
          <w:kern w:val="0"/>
          <w:highlight w:val="none"/>
        </w:rPr>
        <w:t>：</w:t>
      </w:r>
      <w:r>
        <w:rPr>
          <w:rFonts w:hint="eastAsia" w:ascii="宋体" w:hAnsi="宋体" w:cs="宋体"/>
          <w:color w:val="auto"/>
          <w:kern w:val="0"/>
          <w:highlight w:val="none"/>
          <w:u w:val="single"/>
        </w:rPr>
        <w:tab/>
      </w:r>
      <w:r>
        <w:rPr>
          <w:rFonts w:hint="eastAsia" w:ascii="宋体" w:hAnsi="宋体" w:cs="宋体"/>
          <w:color w:val="auto"/>
          <w:kern w:val="0"/>
          <w:u w:val="single"/>
        </w:rPr>
        <w:tab/>
      </w:r>
      <w:r>
        <w:rPr>
          <w:rFonts w:hint="eastAsia" w:ascii="宋体" w:hAnsi="宋体" w:cs="宋体"/>
          <w:color w:val="auto"/>
          <w:kern w:val="0"/>
          <w:u w:val="single"/>
        </w:rPr>
        <w:t xml:space="preserve">       </w:t>
      </w:r>
      <w:r>
        <w:rPr>
          <w:rFonts w:hint="eastAsia" w:ascii="宋体" w:hAnsi="宋体" w:cs="宋体"/>
          <w:color w:val="auto"/>
          <w:kern w:val="0"/>
        </w:rPr>
        <w:t>（签字）</w:t>
      </w:r>
    </w:p>
    <w:p>
      <w:pPr>
        <w:snapToGrid w:val="0"/>
        <w:spacing w:line="360" w:lineRule="auto"/>
        <w:ind w:firstLine="3990" w:firstLineChars="1900"/>
        <w:rPr>
          <w:rFonts w:hint="eastAsia" w:ascii="宋体" w:hAnsi="宋体" w:cs="宋体"/>
          <w:color w:val="auto"/>
          <w:kern w:val="0"/>
        </w:rPr>
      </w:pPr>
      <w:r>
        <w:rPr>
          <w:rFonts w:hint="eastAsia" w:ascii="宋体" w:hAnsi="宋体" w:cs="宋体"/>
          <w:color w:val="auto"/>
          <w:kern w:val="0"/>
        </w:rPr>
        <w:tab/>
      </w:r>
      <w:r>
        <w:rPr>
          <w:rFonts w:hint="eastAsia" w:ascii="宋体" w:hAnsi="宋体" w:cs="宋体"/>
          <w:color w:val="auto"/>
          <w:kern w:val="0"/>
        </w:rPr>
        <w:t>年</w:t>
      </w:r>
      <w:r>
        <w:rPr>
          <w:rFonts w:hint="eastAsia" w:ascii="宋体" w:hAnsi="宋体" w:cs="宋体"/>
          <w:color w:val="auto"/>
          <w:kern w:val="0"/>
        </w:rPr>
        <w:tab/>
      </w:r>
      <w:r>
        <w:rPr>
          <w:rFonts w:hint="eastAsia" w:ascii="宋体" w:hAnsi="宋体" w:cs="宋体"/>
          <w:color w:val="auto"/>
          <w:kern w:val="0"/>
        </w:rPr>
        <w:t>月</w:t>
      </w:r>
      <w:r>
        <w:rPr>
          <w:rFonts w:hint="eastAsia" w:ascii="宋体" w:hAnsi="宋体" w:cs="宋体"/>
          <w:color w:val="auto"/>
          <w:kern w:val="0"/>
        </w:rPr>
        <w:tab/>
      </w:r>
      <w:r>
        <w:rPr>
          <w:rFonts w:hint="eastAsia" w:ascii="宋体" w:hAnsi="宋体" w:cs="宋体"/>
          <w:color w:val="auto"/>
          <w:kern w:val="0"/>
        </w:rPr>
        <w:t>日</w:t>
      </w:r>
    </w:p>
    <w:p>
      <w:pPr>
        <w:pStyle w:val="63"/>
        <w:snapToGrid w:val="0"/>
        <w:spacing w:line="360" w:lineRule="auto"/>
        <w:ind w:firstLine="0" w:firstLineChars="0"/>
        <w:outlineLvl w:val="0"/>
        <w:rPr>
          <w:rFonts w:hint="eastAsia" w:ascii="Times New Roman" w:hAnsi="Times New Roman" w:cs="Times New Roman"/>
          <w:color w:val="auto"/>
          <w:highlight w:val="none"/>
        </w:rPr>
      </w:pPr>
      <w:bookmarkStart w:id="221" w:name="_Toc25839"/>
      <w:bookmarkStart w:id="222" w:name="_Toc47023140"/>
      <w:bookmarkStart w:id="223" w:name="_Toc19802"/>
      <w:bookmarkStart w:id="224" w:name="_Toc40699944"/>
      <w:bookmarkStart w:id="225" w:name="_Toc10798"/>
      <w:r>
        <w:rPr>
          <w:rFonts w:hint="eastAsia" w:ascii="Times New Roman" w:hAnsi="Times New Roman" w:cs="Times New Roman"/>
          <w:color w:val="auto"/>
          <w:sz w:val="32"/>
          <w:szCs w:val="24"/>
          <w:highlight w:val="none"/>
          <w:lang w:eastAsia="zh-CN"/>
        </w:rPr>
        <w:t>四</w:t>
      </w:r>
      <w:r>
        <w:rPr>
          <w:rFonts w:hint="eastAsia" w:ascii="Times New Roman" w:hAnsi="Times New Roman" w:cs="Times New Roman"/>
          <w:color w:val="auto"/>
          <w:sz w:val="32"/>
          <w:szCs w:val="24"/>
          <w:highlight w:val="none"/>
        </w:rPr>
        <w:t>、开标一</w:t>
      </w:r>
      <w:r>
        <w:rPr>
          <w:rFonts w:hint="eastAsia" w:ascii="Times New Roman" w:hAnsi="Times New Roman"/>
          <w:color w:val="auto"/>
          <w:sz w:val="32"/>
          <w:szCs w:val="24"/>
          <w:highlight w:val="none"/>
        </w:rPr>
        <w:t>览</w:t>
      </w:r>
      <w:r>
        <w:rPr>
          <w:rFonts w:hint="eastAsia" w:ascii="Times New Roman" w:hAnsi="Times New Roman" w:cs="Times New Roman"/>
          <w:color w:val="auto"/>
          <w:sz w:val="32"/>
          <w:szCs w:val="24"/>
          <w:highlight w:val="none"/>
        </w:rPr>
        <w:t>表</w:t>
      </w:r>
      <w:bookmarkEnd w:id="221"/>
      <w:bookmarkEnd w:id="222"/>
      <w:bookmarkEnd w:id="223"/>
      <w:bookmarkEnd w:id="224"/>
      <w:bookmarkEnd w:id="225"/>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5"/>
        <w:gridCol w:w="2769"/>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68" w:type="pct"/>
            <w:tcBorders>
              <w:top w:val="single" w:color="000000" w:sz="0" w:space="0"/>
              <w:left w:val="single" w:color="000000" w:sz="0" w:space="0"/>
              <w:bottom w:val="single" w:color="000000" w:sz="0" w:space="0"/>
              <w:right w:val="single" w:color="000000" w:sz="0" w:space="0"/>
            </w:tcBorders>
            <w:noWrap w:val="0"/>
            <w:tcMar>
              <w:top w:w="100" w:type="dxa"/>
              <w:bottom w:w="100" w:type="dxa"/>
            </w:tcMar>
            <w:tcFitText/>
            <w:vAlign w:val="top"/>
          </w:tcPr>
          <w:p>
            <w:pPr>
              <w:pStyle w:val="50"/>
              <w:jc w:val="both"/>
              <w:rPr>
                <w:rFonts w:hint="eastAsia" w:eastAsia="宋体"/>
                <w:b/>
                <w:bCs/>
                <w:color w:val="auto"/>
                <w:sz w:val="21"/>
              </w:rPr>
            </w:pPr>
            <w:bookmarkStart w:id="226" w:name="_Toc10595"/>
            <w:bookmarkStart w:id="227" w:name="_Toc7347"/>
            <w:r>
              <w:rPr>
                <w:rFonts w:hint="eastAsia" w:eastAsia="宋体"/>
                <w:b/>
                <w:bCs/>
                <w:color w:val="auto"/>
                <w:spacing w:val="1183"/>
                <w:sz w:val="21"/>
              </w:rPr>
              <w:t>标</w:t>
            </w:r>
            <w:r>
              <w:rPr>
                <w:rFonts w:hint="eastAsia" w:eastAsia="宋体"/>
                <w:b/>
                <w:bCs/>
                <w:color w:val="auto"/>
                <w:sz w:val="21"/>
              </w:rPr>
              <w:t>题</w:t>
            </w:r>
          </w:p>
        </w:tc>
        <w:tc>
          <w:tcPr>
            <w:tcW w:w="1624" w:type="pct"/>
            <w:tcBorders>
              <w:top w:val="single" w:color="000000" w:sz="0" w:space="0"/>
              <w:left w:val="single" w:color="000000" w:sz="0" w:space="0"/>
              <w:bottom w:val="single" w:color="000000" w:sz="0" w:space="0"/>
              <w:right w:val="single" w:color="000000" w:sz="0" w:space="0"/>
            </w:tcBorders>
            <w:noWrap w:val="0"/>
            <w:tcMar>
              <w:top w:w="100" w:type="dxa"/>
              <w:bottom w:w="100" w:type="dxa"/>
            </w:tcMar>
            <w:tcFitText/>
            <w:vAlign w:val="center"/>
          </w:tcPr>
          <w:p>
            <w:pPr>
              <w:pStyle w:val="50"/>
              <w:rPr>
                <w:b/>
                <w:color w:val="auto"/>
                <w:sz w:val="21"/>
              </w:rPr>
            </w:pPr>
            <w:r>
              <w:rPr>
                <w:rFonts w:eastAsia="宋体"/>
                <w:b/>
                <w:color w:val="auto"/>
                <w:spacing w:val="1060"/>
                <w:sz w:val="21"/>
              </w:rPr>
              <w:t>内</w:t>
            </w:r>
            <w:r>
              <w:rPr>
                <w:rFonts w:eastAsia="宋体"/>
                <w:b/>
                <w:color w:val="auto"/>
                <w:sz w:val="21"/>
              </w:rPr>
              <w:t>容</w:t>
            </w:r>
          </w:p>
        </w:tc>
        <w:tc>
          <w:tcPr>
            <w:tcW w:w="1606" w:type="pct"/>
            <w:tcBorders>
              <w:top w:val="single" w:color="000000" w:sz="0" w:space="0"/>
              <w:left w:val="single" w:color="000000" w:sz="0" w:space="0"/>
              <w:bottom w:val="single" w:color="000000" w:sz="0" w:space="0"/>
              <w:right w:val="single" w:color="000000" w:sz="0" w:space="0"/>
            </w:tcBorders>
            <w:noWrap w:val="0"/>
            <w:tcMar>
              <w:top w:w="100" w:type="dxa"/>
              <w:bottom w:w="100" w:type="dxa"/>
            </w:tcMar>
            <w:tcFitText/>
            <w:vAlign w:val="center"/>
          </w:tcPr>
          <w:p>
            <w:pPr>
              <w:pStyle w:val="50"/>
              <w:rPr>
                <w:b/>
                <w:color w:val="auto"/>
                <w:sz w:val="21"/>
              </w:rPr>
            </w:pPr>
            <w:r>
              <w:rPr>
                <w:rFonts w:eastAsia="宋体"/>
                <w:b/>
                <w:color w:val="auto"/>
                <w:spacing w:val="1045"/>
                <w:sz w:val="21"/>
              </w:rPr>
              <w:t>单</w:t>
            </w:r>
            <w:r>
              <w:rPr>
                <w:rFonts w:eastAsia="宋体"/>
                <w:b/>
                <w:color w:val="auto"/>
                <w:sz w:val="21"/>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68" w:type="pct"/>
            <w:tcBorders>
              <w:top w:val="single" w:color="000000" w:sz="0" w:space="0"/>
              <w:left w:val="single" w:color="000000" w:sz="0" w:space="0"/>
              <w:bottom w:val="single" w:color="000000" w:sz="0" w:space="0"/>
              <w:right w:val="single" w:color="000000" w:sz="0" w:space="0"/>
            </w:tcBorders>
            <w:noWrap w:val="0"/>
            <w:tcMar>
              <w:top w:w="100" w:type="dxa"/>
              <w:bottom w:w="100" w:type="dxa"/>
            </w:tcMar>
            <w:tcFitText/>
            <w:vAlign w:val="center"/>
          </w:tcPr>
          <w:p>
            <w:pPr>
              <w:pStyle w:val="50"/>
              <w:rPr>
                <w:b/>
                <w:color w:val="auto"/>
                <w:sz w:val="21"/>
              </w:rPr>
            </w:pPr>
            <w:r>
              <w:rPr>
                <w:rFonts w:eastAsia="宋体"/>
                <w:b/>
                <w:color w:val="auto"/>
                <w:spacing w:val="324"/>
                <w:sz w:val="21"/>
              </w:rPr>
              <w:t>投标总</w:t>
            </w:r>
            <w:r>
              <w:rPr>
                <w:rFonts w:eastAsia="宋体"/>
                <w:b/>
                <w:color w:val="auto"/>
                <w:sz w:val="21"/>
              </w:rPr>
              <w:t>价</w:t>
            </w:r>
          </w:p>
        </w:tc>
        <w:tc>
          <w:tcPr>
            <w:tcW w:w="1624" w:type="pct"/>
            <w:tcBorders>
              <w:top w:val="single" w:color="000000" w:sz="0" w:space="0"/>
              <w:left w:val="single" w:color="000000" w:sz="0" w:space="0"/>
              <w:bottom w:val="single" w:color="000000" w:sz="0" w:space="0"/>
              <w:right w:val="single" w:color="000000" w:sz="0" w:space="0"/>
            </w:tcBorders>
            <w:noWrap w:val="0"/>
            <w:tcMar>
              <w:top w:w="100" w:type="dxa"/>
              <w:bottom w:w="100" w:type="dxa"/>
            </w:tcMar>
            <w:tcFitText/>
            <w:vAlign w:val="center"/>
          </w:tcPr>
          <w:p>
            <w:pPr>
              <w:pStyle w:val="50"/>
              <w:rPr>
                <w:color w:val="auto"/>
                <w:sz w:val="21"/>
              </w:rPr>
            </w:pPr>
          </w:p>
        </w:tc>
        <w:tc>
          <w:tcPr>
            <w:tcW w:w="1606" w:type="pct"/>
            <w:tcBorders>
              <w:top w:val="single" w:color="000000" w:sz="0" w:space="0"/>
              <w:left w:val="single" w:color="000000" w:sz="0" w:space="0"/>
              <w:bottom w:val="single" w:color="000000" w:sz="0" w:space="0"/>
              <w:right w:val="single" w:color="000000" w:sz="0" w:space="0"/>
            </w:tcBorders>
            <w:noWrap w:val="0"/>
            <w:tcMar>
              <w:top w:w="100" w:type="dxa"/>
              <w:bottom w:w="100" w:type="dxa"/>
            </w:tcMar>
            <w:tcFitText/>
            <w:vAlign w:val="center"/>
          </w:tcPr>
          <w:p>
            <w:pPr>
              <w:pStyle w:val="50"/>
              <w:ind w:firstLine="1680" w:firstLineChars="800"/>
              <w:rPr>
                <w:color w:val="auto"/>
                <w:sz w:val="21"/>
              </w:rPr>
            </w:pPr>
            <w:r>
              <w:rPr>
                <w:rFonts w:eastAsia="宋体"/>
                <w:color w:val="auto"/>
                <w:sz w:val="21"/>
              </w:rPr>
              <w:t>元</w:t>
            </w:r>
          </w:p>
        </w:tc>
      </w:tr>
    </w:tbl>
    <w:p>
      <w:pPr>
        <w:snapToGrid w:val="0"/>
        <w:spacing w:line="360" w:lineRule="auto"/>
        <w:ind w:firstLine="0" w:firstLineChars="0"/>
        <w:rPr>
          <w:rFonts w:hint="eastAsia" w:ascii="宋体" w:hAnsi="宋体" w:cs="宋体"/>
          <w:b/>
          <w:bCs/>
          <w:color w:val="auto"/>
          <w:kern w:val="0"/>
          <w:sz w:val="32"/>
          <w:szCs w:val="32"/>
        </w:rPr>
      </w:pPr>
    </w:p>
    <w:p>
      <w:pPr>
        <w:snapToGrid w:val="0"/>
        <w:spacing w:line="360" w:lineRule="auto"/>
        <w:ind w:firstLine="0" w:firstLineChars="0"/>
        <w:rPr>
          <w:rFonts w:hint="eastAsia" w:ascii="宋体" w:hAnsi="宋体" w:cs="宋体"/>
          <w:b/>
          <w:bCs/>
          <w:color w:val="auto"/>
          <w:kern w:val="0"/>
          <w:sz w:val="32"/>
          <w:szCs w:val="32"/>
        </w:rPr>
      </w:pPr>
    </w:p>
    <w:p>
      <w:pPr>
        <w:snapToGrid w:val="0"/>
        <w:spacing w:line="360" w:lineRule="auto"/>
        <w:ind w:firstLine="0" w:firstLineChars="0"/>
        <w:rPr>
          <w:rFonts w:hint="eastAsia" w:ascii="宋体" w:hAnsi="宋体" w:cs="宋体"/>
          <w:b/>
          <w:bCs/>
          <w:color w:val="auto"/>
          <w:kern w:val="0"/>
          <w:sz w:val="32"/>
          <w:szCs w:val="32"/>
        </w:rPr>
      </w:pPr>
    </w:p>
    <w:p>
      <w:pPr>
        <w:snapToGrid w:val="0"/>
        <w:spacing w:line="360" w:lineRule="auto"/>
        <w:ind w:firstLine="0" w:firstLineChars="0"/>
        <w:rPr>
          <w:rFonts w:hint="eastAsia" w:ascii="宋体" w:hAnsi="宋体" w:cs="宋体"/>
          <w:b/>
          <w:bCs/>
          <w:color w:val="auto"/>
          <w:kern w:val="0"/>
          <w:sz w:val="32"/>
          <w:szCs w:val="32"/>
        </w:rPr>
      </w:pPr>
    </w:p>
    <w:p>
      <w:pPr>
        <w:snapToGrid w:val="0"/>
        <w:spacing w:line="360" w:lineRule="auto"/>
        <w:ind w:firstLine="0" w:firstLineChars="0"/>
        <w:rPr>
          <w:rFonts w:hint="eastAsia" w:ascii="宋体" w:hAnsi="宋体" w:cs="宋体"/>
          <w:b/>
          <w:bCs/>
          <w:color w:val="auto"/>
          <w:kern w:val="0"/>
          <w:sz w:val="32"/>
          <w:szCs w:val="32"/>
        </w:rPr>
      </w:pPr>
    </w:p>
    <w:p>
      <w:pPr>
        <w:snapToGrid w:val="0"/>
        <w:spacing w:line="360" w:lineRule="auto"/>
        <w:ind w:firstLine="0" w:firstLineChars="0"/>
        <w:rPr>
          <w:rFonts w:hint="eastAsia" w:ascii="宋体" w:hAnsi="宋体" w:cs="宋体"/>
          <w:b/>
          <w:bCs/>
          <w:color w:val="auto"/>
          <w:kern w:val="0"/>
          <w:sz w:val="32"/>
          <w:szCs w:val="32"/>
        </w:rPr>
      </w:pPr>
    </w:p>
    <w:p>
      <w:pPr>
        <w:snapToGrid w:val="0"/>
        <w:spacing w:line="360" w:lineRule="auto"/>
        <w:ind w:firstLine="0" w:firstLineChars="0"/>
        <w:rPr>
          <w:rFonts w:hint="eastAsia" w:ascii="宋体" w:hAnsi="宋体" w:cs="宋体"/>
          <w:b/>
          <w:bCs/>
          <w:color w:val="auto"/>
          <w:kern w:val="0"/>
          <w:sz w:val="32"/>
          <w:szCs w:val="32"/>
        </w:rPr>
      </w:pPr>
    </w:p>
    <w:p>
      <w:pPr>
        <w:snapToGrid w:val="0"/>
        <w:spacing w:line="360" w:lineRule="auto"/>
        <w:ind w:firstLine="0" w:firstLineChars="0"/>
        <w:rPr>
          <w:rFonts w:hint="eastAsia" w:ascii="宋体" w:hAnsi="宋体" w:cs="宋体"/>
          <w:b/>
          <w:bCs/>
          <w:color w:val="auto"/>
          <w:kern w:val="0"/>
          <w:sz w:val="32"/>
          <w:szCs w:val="32"/>
        </w:rPr>
      </w:pPr>
    </w:p>
    <w:p>
      <w:pPr>
        <w:snapToGrid w:val="0"/>
        <w:spacing w:line="360" w:lineRule="auto"/>
        <w:ind w:firstLine="0" w:firstLineChars="0"/>
        <w:rPr>
          <w:rFonts w:hint="eastAsia" w:ascii="宋体" w:hAnsi="宋体" w:cs="宋体"/>
          <w:b/>
          <w:bCs/>
          <w:color w:val="auto"/>
          <w:kern w:val="0"/>
          <w:sz w:val="32"/>
          <w:szCs w:val="32"/>
        </w:rPr>
      </w:pPr>
    </w:p>
    <w:p>
      <w:pPr>
        <w:snapToGrid w:val="0"/>
        <w:spacing w:line="360" w:lineRule="auto"/>
        <w:ind w:firstLine="0" w:firstLineChars="0"/>
        <w:rPr>
          <w:rFonts w:hint="eastAsia" w:ascii="宋体" w:hAnsi="宋体" w:cs="宋体"/>
          <w:b/>
          <w:bCs/>
          <w:color w:val="auto"/>
          <w:kern w:val="0"/>
          <w:sz w:val="32"/>
          <w:szCs w:val="32"/>
        </w:rPr>
      </w:pPr>
    </w:p>
    <w:p>
      <w:pPr>
        <w:snapToGrid w:val="0"/>
        <w:spacing w:line="360" w:lineRule="auto"/>
        <w:ind w:firstLine="0" w:firstLineChars="0"/>
        <w:rPr>
          <w:rFonts w:hint="eastAsia" w:ascii="宋体" w:hAnsi="宋体" w:cs="宋体"/>
          <w:b/>
          <w:bCs/>
          <w:color w:val="auto"/>
          <w:kern w:val="0"/>
          <w:sz w:val="32"/>
          <w:szCs w:val="32"/>
        </w:rPr>
      </w:pPr>
    </w:p>
    <w:p>
      <w:pPr>
        <w:snapToGrid w:val="0"/>
        <w:spacing w:line="360" w:lineRule="auto"/>
        <w:ind w:firstLine="0" w:firstLineChars="0"/>
        <w:rPr>
          <w:rFonts w:hint="eastAsia" w:ascii="宋体" w:hAnsi="宋体" w:cs="宋体"/>
          <w:b/>
          <w:bCs/>
          <w:color w:val="auto"/>
          <w:kern w:val="0"/>
          <w:sz w:val="32"/>
          <w:szCs w:val="32"/>
        </w:rPr>
      </w:pPr>
    </w:p>
    <w:p>
      <w:pPr>
        <w:snapToGrid w:val="0"/>
        <w:spacing w:line="360" w:lineRule="auto"/>
        <w:ind w:firstLine="0" w:firstLineChars="0"/>
        <w:rPr>
          <w:rFonts w:hint="eastAsia" w:ascii="宋体" w:hAnsi="宋体" w:cs="宋体"/>
          <w:b/>
          <w:bCs/>
          <w:color w:val="auto"/>
          <w:kern w:val="0"/>
          <w:sz w:val="32"/>
          <w:szCs w:val="32"/>
        </w:rPr>
      </w:pPr>
    </w:p>
    <w:p>
      <w:pPr>
        <w:snapToGrid w:val="0"/>
        <w:spacing w:line="360" w:lineRule="auto"/>
        <w:ind w:firstLine="0" w:firstLineChars="0"/>
        <w:rPr>
          <w:rFonts w:hint="eastAsia" w:ascii="宋体" w:hAnsi="宋体" w:cs="宋体"/>
          <w:b/>
          <w:bCs/>
          <w:color w:val="auto"/>
          <w:kern w:val="0"/>
          <w:sz w:val="32"/>
          <w:szCs w:val="32"/>
        </w:rPr>
      </w:pPr>
    </w:p>
    <w:p>
      <w:pPr>
        <w:snapToGrid w:val="0"/>
        <w:spacing w:line="360" w:lineRule="auto"/>
        <w:ind w:firstLine="0" w:firstLineChars="0"/>
        <w:rPr>
          <w:rFonts w:hint="eastAsia" w:ascii="宋体" w:hAnsi="宋体" w:cs="宋体"/>
          <w:b/>
          <w:bCs/>
          <w:color w:val="auto"/>
          <w:kern w:val="0"/>
          <w:sz w:val="32"/>
          <w:szCs w:val="32"/>
        </w:rPr>
      </w:pPr>
    </w:p>
    <w:p>
      <w:pPr>
        <w:snapToGrid w:val="0"/>
        <w:spacing w:line="360" w:lineRule="auto"/>
        <w:ind w:firstLine="0" w:firstLineChars="0"/>
        <w:rPr>
          <w:rFonts w:hint="eastAsia" w:ascii="宋体" w:hAnsi="宋体" w:cs="宋体"/>
          <w:b/>
          <w:bCs/>
          <w:color w:val="auto"/>
          <w:kern w:val="0"/>
          <w:sz w:val="32"/>
          <w:szCs w:val="32"/>
        </w:rPr>
      </w:pPr>
    </w:p>
    <w:p>
      <w:pPr>
        <w:snapToGrid w:val="0"/>
        <w:spacing w:line="360" w:lineRule="auto"/>
        <w:ind w:firstLine="0" w:firstLineChars="0"/>
        <w:rPr>
          <w:rFonts w:hint="eastAsia" w:ascii="宋体" w:hAnsi="宋体" w:cs="宋体"/>
          <w:b/>
          <w:bCs/>
          <w:color w:val="auto"/>
          <w:kern w:val="0"/>
          <w:sz w:val="32"/>
          <w:szCs w:val="32"/>
        </w:rPr>
      </w:pPr>
    </w:p>
    <w:p>
      <w:pPr>
        <w:snapToGrid w:val="0"/>
        <w:spacing w:line="360" w:lineRule="auto"/>
        <w:ind w:firstLine="0" w:firstLineChars="0"/>
        <w:rPr>
          <w:rFonts w:hint="eastAsia" w:ascii="宋体" w:hAnsi="宋体" w:cs="宋体"/>
          <w:b/>
          <w:bCs/>
          <w:color w:val="auto"/>
          <w:kern w:val="0"/>
          <w:sz w:val="32"/>
          <w:szCs w:val="32"/>
        </w:rPr>
      </w:pPr>
    </w:p>
    <w:p>
      <w:pPr>
        <w:snapToGrid w:val="0"/>
        <w:spacing w:line="360" w:lineRule="auto"/>
        <w:ind w:firstLine="0" w:firstLineChars="0"/>
        <w:rPr>
          <w:rFonts w:hint="eastAsia" w:ascii="宋体" w:hAnsi="宋体" w:cs="宋体"/>
          <w:b/>
          <w:bCs/>
          <w:color w:val="auto"/>
          <w:kern w:val="0"/>
          <w:sz w:val="32"/>
          <w:szCs w:val="32"/>
        </w:rPr>
      </w:pPr>
    </w:p>
    <w:p>
      <w:pPr>
        <w:pStyle w:val="63"/>
        <w:outlineLvl w:val="0"/>
        <w:rPr>
          <w:rFonts w:ascii="Times New Roman" w:hAnsi="Times New Roman"/>
          <w:color w:val="auto"/>
        </w:rPr>
      </w:pPr>
      <w:bookmarkStart w:id="228" w:name="_Toc47023141"/>
      <w:bookmarkStart w:id="229" w:name="_Toc43369508"/>
      <w:r>
        <w:rPr>
          <w:rFonts w:hint="eastAsia" w:ascii="Times New Roman" w:hAnsi="Times New Roman"/>
          <w:color w:val="auto"/>
          <w:lang w:eastAsia="zh-CN"/>
        </w:rPr>
        <w:t>五</w:t>
      </w:r>
      <w:r>
        <w:rPr>
          <w:rFonts w:ascii="Times New Roman" w:hAnsi="Times New Roman"/>
          <w:color w:val="auto"/>
        </w:rPr>
        <w:t>、分项明细报价表</w:t>
      </w:r>
      <w:bookmarkEnd w:id="228"/>
      <w:bookmarkEnd w:id="229"/>
    </w:p>
    <w:p>
      <w:pPr>
        <w:pStyle w:val="74"/>
        <w:spacing w:line="600" w:lineRule="exact"/>
        <w:jc w:val="center"/>
        <w:outlineLvl w:val="0"/>
        <w:rPr>
          <w:b/>
          <w:bCs/>
          <w:color w:val="auto"/>
          <w:sz w:val="32"/>
          <w:szCs w:val="32"/>
        </w:rPr>
      </w:pPr>
      <w:r>
        <w:rPr>
          <w:b/>
          <w:bCs/>
          <w:color w:val="auto"/>
          <w:sz w:val="32"/>
          <w:szCs w:val="32"/>
        </w:rPr>
        <w:t>分项明细报价表</w:t>
      </w:r>
    </w:p>
    <w:p>
      <w:pPr>
        <w:pStyle w:val="74"/>
        <w:spacing w:line="380" w:lineRule="exact"/>
        <w:jc w:val="center"/>
        <w:rPr>
          <w:rFonts w:eastAsia="仿宋_GB2312"/>
          <w:b/>
          <w:bCs/>
          <w:color w:val="auto"/>
          <w:szCs w:val="22"/>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620"/>
        <w:gridCol w:w="2216"/>
        <w:gridCol w:w="1260"/>
        <w:gridCol w:w="962"/>
        <w:gridCol w:w="1344"/>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pStyle w:val="74"/>
              <w:widowControl/>
              <w:adjustRightInd w:val="0"/>
              <w:snapToGrid w:val="0"/>
              <w:spacing w:before="100" w:beforeAutospacing="1" w:line="56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pStyle w:val="74"/>
              <w:widowControl/>
              <w:adjustRightInd w:val="0"/>
              <w:snapToGrid w:val="0"/>
              <w:spacing w:before="100" w:beforeAutospacing="1" w:line="56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名称</w:t>
            </w:r>
          </w:p>
        </w:tc>
        <w:tc>
          <w:tcPr>
            <w:tcW w:w="2216" w:type="dxa"/>
            <w:tcBorders>
              <w:top w:val="single" w:color="auto" w:sz="4" w:space="0"/>
              <w:left w:val="single" w:color="auto" w:sz="4" w:space="0"/>
              <w:bottom w:val="single" w:color="auto" w:sz="4" w:space="0"/>
              <w:right w:val="single" w:color="auto" w:sz="4" w:space="0"/>
            </w:tcBorders>
            <w:noWrap w:val="0"/>
            <w:vAlign w:val="center"/>
          </w:tcPr>
          <w:p>
            <w:pPr>
              <w:pStyle w:val="74"/>
              <w:widowControl/>
              <w:adjustRightInd w:val="0"/>
              <w:snapToGrid w:val="0"/>
              <w:spacing w:before="100" w:beforeAutospacing="1" w:line="560" w:lineRule="exac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内容</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74"/>
              <w:widowControl/>
              <w:adjustRightInd w:val="0"/>
              <w:snapToGrid w:val="0"/>
              <w:spacing w:before="100" w:beforeAutospacing="1" w:line="56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单价</w:t>
            </w:r>
          </w:p>
          <w:p>
            <w:pPr>
              <w:pStyle w:val="74"/>
              <w:widowControl/>
              <w:adjustRightInd w:val="0"/>
              <w:snapToGrid w:val="0"/>
              <w:spacing w:before="100" w:beforeAutospacing="1" w:line="56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（元）</w:t>
            </w: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74"/>
              <w:widowControl/>
              <w:adjustRightInd w:val="0"/>
              <w:snapToGrid w:val="0"/>
              <w:spacing w:before="100" w:beforeAutospacing="1" w:line="56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数量</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pStyle w:val="74"/>
              <w:widowControl/>
              <w:adjustRightInd w:val="0"/>
              <w:snapToGrid w:val="0"/>
              <w:spacing w:before="100" w:beforeAutospacing="1" w:line="56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合价</w:t>
            </w:r>
          </w:p>
          <w:p>
            <w:pPr>
              <w:pStyle w:val="74"/>
              <w:widowControl/>
              <w:adjustRightInd w:val="0"/>
              <w:snapToGrid w:val="0"/>
              <w:spacing w:before="100" w:beforeAutospacing="1" w:line="56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（元）</w:t>
            </w:r>
          </w:p>
        </w:tc>
        <w:tc>
          <w:tcPr>
            <w:tcW w:w="1228" w:type="dxa"/>
            <w:tcBorders>
              <w:top w:val="single" w:color="auto" w:sz="4" w:space="0"/>
              <w:left w:val="single" w:color="auto" w:sz="4" w:space="0"/>
              <w:bottom w:val="single" w:color="auto" w:sz="4" w:space="0"/>
              <w:right w:val="single" w:color="auto" w:sz="4" w:space="0"/>
            </w:tcBorders>
            <w:noWrap w:val="0"/>
            <w:vAlign w:val="center"/>
          </w:tcPr>
          <w:p>
            <w:pPr>
              <w:pStyle w:val="74"/>
              <w:widowControl/>
              <w:adjustRightInd w:val="0"/>
              <w:snapToGrid w:val="0"/>
              <w:spacing w:before="100" w:beforeAutospacing="1" w:line="56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56"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rPr>
                <w:rFonts w:hint="eastAsia" w:ascii="方正仿宋_GBK" w:hAnsi="方正仿宋_GBK" w:eastAsia="方正仿宋_GBK" w:cs="方正仿宋_GBK"/>
                <w:color w:val="auto"/>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jc w:val="center"/>
              <w:rPr>
                <w:rFonts w:hint="eastAsia" w:ascii="方正仿宋_GBK" w:hAnsi="方正仿宋_GBK" w:eastAsia="方正仿宋_GBK" w:cs="方正仿宋_GBK"/>
                <w:color w:val="auto"/>
                <w:sz w:val="24"/>
                <w:szCs w:val="22"/>
              </w:rPr>
            </w:pPr>
          </w:p>
        </w:tc>
        <w:tc>
          <w:tcPr>
            <w:tcW w:w="2216"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jc w:val="center"/>
              <w:rPr>
                <w:rFonts w:hint="eastAsia" w:ascii="方正仿宋_GBK" w:hAnsi="方正仿宋_GBK" w:eastAsia="方正仿宋_GBK" w:cs="方正仿宋_GBK"/>
                <w:color w:val="auto"/>
                <w:sz w:val="24"/>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c>
          <w:tcPr>
            <w:tcW w:w="962"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jc w:val="center"/>
              <w:rPr>
                <w:rFonts w:hint="eastAsia" w:ascii="方正仿宋_GBK" w:hAnsi="方正仿宋_GBK" w:eastAsia="方正仿宋_GBK" w:cs="方正仿宋_GBK"/>
                <w:color w:val="auto"/>
                <w:sz w:val="24"/>
                <w:szCs w:val="22"/>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656"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rPr>
                <w:rFonts w:hint="eastAsia" w:ascii="方正仿宋_GBK" w:hAnsi="方正仿宋_GBK" w:eastAsia="方正仿宋_GBK" w:cs="方正仿宋_GBK"/>
                <w:color w:val="auto"/>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jc w:val="center"/>
              <w:rPr>
                <w:rFonts w:hint="eastAsia" w:ascii="方正仿宋_GBK" w:hAnsi="方正仿宋_GBK" w:eastAsia="方正仿宋_GBK" w:cs="方正仿宋_GBK"/>
                <w:color w:val="auto"/>
                <w:sz w:val="24"/>
                <w:szCs w:val="22"/>
              </w:rPr>
            </w:pPr>
          </w:p>
        </w:tc>
        <w:tc>
          <w:tcPr>
            <w:tcW w:w="2216"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jc w:val="center"/>
              <w:rPr>
                <w:rFonts w:hint="eastAsia" w:ascii="方正仿宋_GBK" w:hAnsi="方正仿宋_GBK" w:eastAsia="方正仿宋_GBK" w:cs="方正仿宋_GBK"/>
                <w:color w:val="auto"/>
                <w:sz w:val="24"/>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c>
          <w:tcPr>
            <w:tcW w:w="962"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jc w:val="center"/>
              <w:rPr>
                <w:rFonts w:hint="eastAsia" w:ascii="方正仿宋_GBK" w:hAnsi="方正仿宋_GBK" w:eastAsia="方正仿宋_GBK" w:cs="方正仿宋_GBK"/>
                <w:color w:val="auto"/>
                <w:sz w:val="24"/>
                <w:szCs w:val="22"/>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656"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rPr>
                <w:rFonts w:hint="eastAsia" w:ascii="方正仿宋_GBK" w:hAnsi="方正仿宋_GBK" w:eastAsia="方正仿宋_GBK" w:cs="方正仿宋_GBK"/>
                <w:color w:val="auto"/>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jc w:val="center"/>
              <w:rPr>
                <w:rFonts w:hint="eastAsia" w:ascii="方正仿宋_GBK" w:hAnsi="方正仿宋_GBK" w:eastAsia="方正仿宋_GBK" w:cs="方正仿宋_GBK"/>
                <w:color w:val="auto"/>
                <w:sz w:val="24"/>
                <w:szCs w:val="22"/>
              </w:rPr>
            </w:pPr>
          </w:p>
        </w:tc>
        <w:tc>
          <w:tcPr>
            <w:tcW w:w="2216"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jc w:val="center"/>
              <w:rPr>
                <w:rFonts w:hint="eastAsia" w:ascii="方正仿宋_GBK" w:hAnsi="方正仿宋_GBK" w:eastAsia="方正仿宋_GBK" w:cs="方正仿宋_GBK"/>
                <w:color w:val="auto"/>
                <w:sz w:val="24"/>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c>
          <w:tcPr>
            <w:tcW w:w="962"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jc w:val="center"/>
              <w:rPr>
                <w:rFonts w:hint="eastAsia" w:ascii="方正仿宋_GBK" w:hAnsi="方正仿宋_GBK" w:eastAsia="方正仿宋_GBK" w:cs="方正仿宋_GBK"/>
                <w:color w:val="auto"/>
                <w:sz w:val="24"/>
                <w:szCs w:val="22"/>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656"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rPr>
                <w:rFonts w:hint="eastAsia" w:ascii="方正仿宋_GBK" w:hAnsi="方正仿宋_GBK" w:eastAsia="方正仿宋_GBK" w:cs="方正仿宋_GBK"/>
                <w:color w:val="auto"/>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jc w:val="center"/>
              <w:rPr>
                <w:rFonts w:hint="eastAsia" w:ascii="方正仿宋_GBK" w:hAnsi="方正仿宋_GBK" w:eastAsia="方正仿宋_GBK" w:cs="方正仿宋_GBK"/>
                <w:color w:val="auto"/>
                <w:sz w:val="24"/>
                <w:szCs w:val="22"/>
              </w:rPr>
            </w:pPr>
          </w:p>
        </w:tc>
        <w:tc>
          <w:tcPr>
            <w:tcW w:w="2216"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jc w:val="center"/>
              <w:rPr>
                <w:rFonts w:hint="eastAsia" w:ascii="方正仿宋_GBK" w:hAnsi="方正仿宋_GBK" w:eastAsia="方正仿宋_GBK" w:cs="方正仿宋_GBK"/>
                <w:color w:val="auto"/>
                <w:sz w:val="24"/>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c>
          <w:tcPr>
            <w:tcW w:w="962"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jc w:val="center"/>
              <w:rPr>
                <w:rFonts w:hint="eastAsia" w:ascii="方正仿宋_GBK" w:hAnsi="方正仿宋_GBK" w:eastAsia="方正仿宋_GBK" w:cs="方正仿宋_GBK"/>
                <w:color w:val="auto"/>
                <w:sz w:val="24"/>
                <w:szCs w:val="22"/>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rPr>
                <w:rFonts w:hint="eastAsia" w:ascii="方正仿宋_GBK" w:hAnsi="方正仿宋_GBK" w:eastAsia="方正仿宋_GBK" w:cs="方正仿宋_GBK"/>
                <w:color w:val="auto"/>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c>
          <w:tcPr>
            <w:tcW w:w="2216"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c>
          <w:tcPr>
            <w:tcW w:w="962"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jc w:val="center"/>
              <w:rPr>
                <w:rFonts w:hint="eastAsia" w:ascii="方正仿宋_GBK" w:hAnsi="方正仿宋_GBK" w:eastAsia="方正仿宋_GBK" w:cs="方正仿宋_GBK"/>
                <w:color w:val="auto"/>
                <w:sz w:val="24"/>
                <w:szCs w:val="22"/>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56"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rPr>
                <w:rFonts w:hint="eastAsia" w:ascii="方正仿宋_GBK" w:hAnsi="方正仿宋_GBK" w:eastAsia="方正仿宋_GBK" w:cs="方正仿宋_GBK"/>
                <w:color w:val="auto"/>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jc w:val="center"/>
              <w:rPr>
                <w:rFonts w:hint="eastAsia" w:ascii="方正仿宋_GBK" w:hAnsi="方正仿宋_GBK" w:eastAsia="方正仿宋_GBK" w:cs="方正仿宋_GBK"/>
                <w:color w:val="auto"/>
                <w:sz w:val="24"/>
                <w:szCs w:val="22"/>
              </w:rPr>
            </w:pPr>
          </w:p>
        </w:tc>
        <w:tc>
          <w:tcPr>
            <w:tcW w:w="2216"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jc w:val="center"/>
              <w:rPr>
                <w:rFonts w:hint="eastAsia" w:ascii="方正仿宋_GBK" w:hAnsi="方正仿宋_GBK" w:eastAsia="方正仿宋_GBK" w:cs="方正仿宋_GBK"/>
                <w:color w:val="auto"/>
                <w:sz w:val="24"/>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c>
          <w:tcPr>
            <w:tcW w:w="962"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jc w:val="center"/>
              <w:rPr>
                <w:rFonts w:hint="eastAsia" w:ascii="方正仿宋_GBK" w:hAnsi="方正仿宋_GBK" w:eastAsia="方正仿宋_GBK" w:cs="方正仿宋_GBK"/>
                <w:color w:val="auto"/>
                <w:sz w:val="24"/>
                <w:szCs w:val="22"/>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56"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rPr>
                <w:rFonts w:hint="eastAsia" w:ascii="方正仿宋_GBK" w:hAnsi="方正仿宋_GBK" w:eastAsia="方正仿宋_GBK" w:cs="方正仿宋_GBK"/>
                <w:color w:val="auto"/>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jc w:val="center"/>
              <w:rPr>
                <w:rFonts w:hint="eastAsia" w:ascii="方正仿宋_GBK" w:hAnsi="方正仿宋_GBK" w:eastAsia="方正仿宋_GBK" w:cs="方正仿宋_GBK"/>
                <w:color w:val="auto"/>
                <w:sz w:val="24"/>
                <w:szCs w:val="22"/>
              </w:rPr>
            </w:pPr>
          </w:p>
        </w:tc>
        <w:tc>
          <w:tcPr>
            <w:tcW w:w="2216"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jc w:val="center"/>
              <w:rPr>
                <w:rFonts w:hint="eastAsia" w:ascii="方正仿宋_GBK" w:hAnsi="方正仿宋_GBK" w:eastAsia="方正仿宋_GBK" w:cs="方正仿宋_GBK"/>
                <w:color w:val="auto"/>
                <w:sz w:val="24"/>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c>
          <w:tcPr>
            <w:tcW w:w="962"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jc w:val="center"/>
              <w:rPr>
                <w:rFonts w:hint="eastAsia" w:ascii="方正仿宋_GBK" w:hAnsi="方正仿宋_GBK" w:eastAsia="方正仿宋_GBK" w:cs="方正仿宋_GBK"/>
                <w:color w:val="auto"/>
                <w:sz w:val="24"/>
                <w:szCs w:val="22"/>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656"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rPr>
                <w:rFonts w:hint="eastAsia" w:ascii="方正仿宋_GBK" w:hAnsi="方正仿宋_GBK" w:eastAsia="方正仿宋_GBK" w:cs="方正仿宋_GBK"/>
                <w:color w:val="auto"/>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jc w:val="center"/>
              <w:rPr>
                <w:rFonts w:hint="eastAsia" w:ascii="方正仿宋_GBK" w:hAnsi="方正仿宋_GBK" w:eastAsia="方正仿宋_GBK" w:cs="方正仿宋_GBK"/>
                <w:color w:val="auto"/>
                <w:sz w:val="24"/>
                <w:szCs w:val="22"/>
              </w:rPr>
            </w:pPr>
          </w:p>
        </w:tc>
        <w:tc>
          <w:tcPr>
            <w:tcW w:w="2216"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jc w:val="center"/>
              <w:rPr>
                <w:rFonts w:hint="eastAsia" w:ascii="方正仿宋_GBK" w:hAnsi="方正仿宋_GBK" w:eastAsia="方正仿宋_GBK" w:cs="方正仿宋_GBK"/>
                <w:color w:val="auto"/>
                <w:sz w:val="24"/>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c>
          <w:tcPr>
            <w:tcW w:w="962" w:type="dxa"/>
            <w:tcBorders>
              <w:top w:val="single" w:color="auto" w:sz="4" w:space="0"/>
              <w:left w:val="single" w:color="auto" w:sz="4" w:space="0"/>
              <w:bottom w:val="single" w:color="auto" w:sz="4" w:space="0"/>
              <w:right w:val="single" w:color="auto" w:sz="4" w:space="0"/>
            </w:tcBorders>
            <w:noWrap w:val="0"/>
            <w:vAlign w:val="top"/>
          </w:tcPr>
          <w:p>
            <w:pPr>
              <w:pStyle w:val="74"/>
              <w:widowControl/>
              <w:spacing w:line="560" w:lineRule="exact"/>
              <w:jc w:val="center"/>
              <w:rPr>
                <w:rFonts w:hint="eastAsia" w:ascii="方正仿宋_GBK" w:hAnsi="方正仿宋_GBK" w:eastAsia="方正仿宋_GBK" w:cs="方正仿宋_GBK"/>
                <w:color w:val="auto"/>
                <w:sz w:val="24"/>
                <w:szCs w:val="22"/>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i/>
                <w:iCs/>
                <w:color w:val="auto"/>
                <w:sz w:val="28"/>
                <w:szCs w:val="28"/>
              </w:rPr>
            </w:pPr>
            <w:r>
              <w:rPr>
                <w:rFonts w:hint="eastAsia" w:ascii="方正仿宋_GBK" w:hAnsi="方正仿宋_GBK" w:eastAsia="方正仿宋_GBK" w:cs="方正仿宋_GBK"/>
                <w:i/>
                <w:iCs/>
                <w:color w:val="auto"/>
                <w:sz w:val="28"/>
                <w:szCs w:val="28"/>
              </w:rPr>
              <w:t>…</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iCs/>
                <w:color w:val="auto"/>
                <w:sz w:val="24"/>
                <w:szCs w:val="22"/>
              </w:rPr>
            </w:pPr>
            <w:r>
              <w:rPr>
                <w:rFonts w:hint="eastAsia" w:ascii="方正仿宋_GBK" w:hAnsi="方正仿宋_GBK" w:eastAsia="方正仿宋_GBK" w:cs="方正仿宋_GBK"/>
                <w:iCs/>
                <w:color w:val="auto"/>
                <w:sz w:val="24"/>
              </w:rPr>
              <w:t>税金</w:t>
            </w:r>
          </w:p>
        </w:tc>
        <w:tc>
          <w:tcPr>
            <w:tcW w:w="2216"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i/>
                <w:iCs/>
                <w:color w:val="auto"/>
                <w:sz w:val="24"/>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i/>
                <w:iCs/>
                <w:color w:val="auto"/>
                <w:sz w:val="28"/>
                <w:szCs w:val="28"/>
              </w:rPr>
            </w:pPr>
          </w:p>
        </w:tc>
        <w:tc>
          <w:tcPr>
            <w:tcW w:w="6058" w:type="dxa"/>
            <w:gridSpan w:val="4"/>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r>
              <w:rPr>
                <w:rFonts w:hint="eastAsia" w:ascii="方正仿宋_GBK" w:hAnsi="方正仿宋_GBK" w:eastAsia="方正仿宋_GBK" w:cs="方正仿宋_GBK"/>
                <w:iCs/>
                <w:color w:val="auto"/>
                <w:sz w:val="24"/>
              </w:rPr>
              <w:t>合计</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2276" w:type="dxa"/>
            <w:gridSpan w:val="2"/>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jc w:val="center"/>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投标</w:t>
            </w:r>
          </w:p>
          <w:p>
            <w:pPr>
              <w:pStyle w:val="74"/>
              <w:spacing w:line="560" w:lineRule="exact"/>
              <w:jc w:val="center"/>
              <w:rPr>
                <w:rFonts w:hint="eastAsia" w:ascii="方正仿宋_GBK" w:hAnsi="方正仿宋_GBK" w:eastAsia="方正仿宋_GBK" w:cs="方正仿宋_GBK"/>
                <w:b/>
                <w:bCs/>
                <w:color w:val="auto"/>
                <w:sz w:val="24"/>
                <w:szCs w:val="22"/>
              </w:rPr>
            </w:pPr>
            <w:r>
              <w:rPr>
                <w:rFonts w:hint="eastAsia" w:ascii="方正仿宋_GBK" w:hAnsi="方正仿宋_GBK" w:eastAsia="方正仿宋_GBK" w:cs="方正仿宋_GBK"/>
                <w:b/>
                <w:bCs/>
                <w:color w:val="auto"/>
                <w:sz w:val="28"/>
                <w:szCs w:val="28"/>
              </w:rPr>
              <w:t>报价总计</w:t>
            </w:r>
          </w:p>
        </w:tc>
        <w:tc>
          <w:tcPr>
            <w:tcW w:w="7010" w:type="dxa"/>
            <w:gridSpan w:val="5"/>
            <w:tcBorders>
              <w:top w:val="single" w:color="auto" w:sz="4" w:space="0"/>
              <w:left w:val="single" w:color="auto" w:sz="4" w:space="0"/>
              <w:bottom w:val="single" w:color="auto" w:sz="4" w:space="0"/>
              <w:right w:val="single" w:color="auto" w:sz="4" w:space="0"/>
            </w:tcBorders>
            <w:noWrap w:val="0"/>
            <w:vAlign w:val="center"/>
          </w:tcPr>
          <w:p>
            <w:pPr>
              <w:pStyle w:val="74"/>
              <w:spacing w:line="560" w:lineRule="exact"/>
              <w:rPr>
                <w:rFonts w:hint="eastAsia" w:ascii="方正仿宋_GBK" w:hAnsi="方正仿宋_GBK" w:eastAsia="方正仿宋_GBK" w:cs="方正仿宋_GBK"/>
                <w:b/>
                <w:bCs/>
                <w:color w:val="auto"/>
                <w:sz w:val="24"/>
                <w:szCs w:val="22"/>
              </w:rPr>
            </w:pPr>
            <w:r>
              <w:rPr>
                <w:rFonts w:hint="eastAsia" w:ascii="方正仿宋_GBK" w:hAnsi="方正仿宋_GBK" w:eastAsia="方正仿宋_GBK" w:cs="方正仿宋_GBK"/>
                <w:b/>
                <w:bCs/>
                <w:color w:val="auto"/>
                <w:sz w:val="24"/>
              </w:rPr>
              <w:t>￥：</w:t>
            </w:r>
            <w:r>
              <w:rPr>
                <w:rFonts w:hint="eastAsia" w:ascii="方正仿宋_GBK" w:hAnsi="方正仿宋_GBK" w:eastAsia="方正仿宋_GBK" w:cs="方正仿宋_GBK"/>
                <w:b/>
                <w:bCs/>
                <w:color w:val="auto"/>
                <w:sz w:val="24"/>
                <w:u w:val="single"/>
              </w:rPr>
              <w:t xml:space="preserve">                          </w:t>
            </w:r>
          </w:p>
          <w:p>
            <w:pPr>
              <w:pStyle w:val="74"/>
              <w:spacing w:line="560" w:lineRule="exact"/>
              <w:rPr>
                <w:rFonts w:hint="eastAsia" w:ascii="方正仿宋_GBK" w:hAnsi="方正仿宋_GBK" w:eastAsia="方正仿宋_GBK" w:cs="方正仿宋_GBK"/>
                <w:b/>
                <w:bCs/>
                <w:color w:val="auto"/>
                <w:sz w:val="24"/>
              </w:rPr>
            </w:pPr>
            <w:r>
              <w:rPr>
                <w:rFonts w:hint="eastAsia" w:ascii="方正仿宋_GBK" w:hAnsi="方正仿宋_GBK" w:eastAsia="方正仿宋_GBK" w:cs="方正仿宋_GBK"/>
                <w:b/>
                <w:bCs/>
                <w:color w:val="auto"/>
                <w:sz w:val="24"/>
              </w:rPr>
              <w:t>人民币（大写）：</w:t>
            </w:r>
          </w:p>
          <w:p>
            <w:pPr>
              <w:pStyle w:val="74"/>
              <w:spacing w:line="560" w:lineRule="exact"/>
              <w:rPr>
                <w:rFonts w:hint="eastAsia" w:ascii="方正仿宋_GBK" w:hAnsi="方正仿宋_GBK" w:eastAsia="方正仿宋_GBK" w:cs="方正仿宋_GBK"/>
                <w:b/>
                <w:bCs/>
                <w:color w:val="auto"/>
                <w:sz w:val="24"/>
                <w:szCs w:val="22"/>
              </w:rPr>
            </w:pPr>
            <w:r>
              <w:rPr>
                <w:rFonts w:hint="eastAsia" w:ascii="方正仿宋_GBK" w:hAnsi="方正仿宋_GBK" w:eastAsia="方正仿宋_GBK" w:cs="方正仿宋_GBK"/>
                <w:b/>
                <w:bCs/>
                <w:color w:val="auto"/>
                <w:sz w:val="24"/>
                <w:u w:val="single"/>
              </w:rPr>
              <w:t xml:space="preserve">    </w:t>
            </w:r>
            <w:r>
              <w:rPr>
                <w:rFonts w:hint="eastAsia" w:ascii="方正仿宋_GBK" w:hAnsi="方正仿宋_GBK" w:eastAsia="方正仿宋_GBK" w:cs="方正仿宋_GBK"/>
                <w:b/>
                <w:bCs/>
                <w:color w:val="auto"/>
                <w:sz w:val="24"/>
              </w:rPr>
              <w:t>仟</w:t>
            </w:r>
            <w:r>
              <w:rPr>
                <w:rFonts w:hint="eastAsia" w:ascii="方正仿宋_GBK" w:hAnsi="方正仿宋_GBK" w:eastAsia="方正仿宋_GBK" w:cs="方正仿宋_GBK"/>
                <w:b/>
                <w:bCs/>
                <w:color w:val="auto"/>
                <w:sz w:val="24"/>
                <w:u w:val="single"/>
              </w:rPr>
              <w:t xml:space="preserve">    </w:t>
            </w:r>
            <w:r>
              <w:rPr>
                <w:rFonts w:hint="eastAsia" w:ascii="方正仿宋_GBK" w:hAnsi="方正仿宋_GBK" w:eastAsia="方正仿宋_GBK" w:cs="方正仿宋_GBK"/>
                <w:b/>
                <w:bCs/>
                <w:color w:val="auto"/>
                <w:sz w:val="24"/>
              </w:rPr>
              <w:t>佰</w:t>
            </w:r>
            <w:r>
              <w:rPr>
                <w:rFonts w:hint="eastAsia" w:ascii="方正仿宋_GBK" w:hAnsi="方正仿宋_GBK" w:eastAsia="方正仿宋_GBK" w:cs="方正仿宋_GBK"/>
                <w:b/>
                <w:bCs/>
                <w:color w:val="auto"/>
                <w:sz w:val="24"/>
                <w:u w:val="single"/>
              </w:rPr>
              <w:t xml:space="preserve">    </w:t>
            </w:r>
            <w:r>
              <w:rPr>
                <w:rFonts w:hint="eastAsia" w:ascii="方正仿宋_GBK" w:hAnsi="方正仿宋_GBK" w:eastAsia="方正仿宋_GBK" w:cs="方正仿宋_GBK"/>
                <w:b/>
                <w:bCs/>
                <w:color w:val="auto"/>
                <w:sz w:val="24"/>
              </w:rPr>
              <w:t>拾</w:t>
            </w:r>
            <w:r>
              <w:rPr>
                <w:rFonts w:hint="eastAsia" w:ascii="方正仿宋_GBK" w:hAnsi="方正仿宋_GBK" w:eastAsia="方正仿宋_GBK" w:cs="方正仿宋_GBK"/>
                <w:b/>
                <w:bCs/>
                <w:color w:val="auto"/>
                <w:sz w:val="24"/>
                <w:u w:val="single"/>
              </w:rPr>
              <w:t xml:space="preserve">    </w:t>
            </w:r>
            <w:r>
              <w:rPr>
                <w:rFonts w:hint="eastAsia" w:ascii="方正仿宋_GBK" w:hAnsi="方正仿宋_GBK" w:eastAsia="方正仿宋_GBK" w:cs="方正仿宋_GBK"/>
                <w:b/>
                <w:bCs/>
                <w:color w:val="auto"/>
                <w:sz w:val="24"/>
              </w:rPr>
              <w:t>万</w:t>
            </w:r>
            <w:r>
              <w:rPr>
                <w:rFonts w:hint="eastAsia" w:ascii="方正仿宋_GBK" w:hAnsi="方正仿宋_GBK" w:eastAsia="方正仿宋_GBK" w:cs="方正仿宋_GBK"/>
                <w:b/>
                <w:bCs/>
                <w:color w:val="auto"/>
                <w:sz w:val="24"/>
                <w:u w:val="single"/>
              </w:rPr>
              <w:t xml:space="preserve">    </w:t>
            </w:r>
            <w:r>
              <w:rPr>
                <w:rFonts w:hint="eastAsia" w:ascii="方正仿宋_GBK" w:hAnsi="方正仿宋_GBK" w:eastAsia="方正仿宋_GBK" w:cs="方正仿宋_GBK"/>
                <w:b/>
                <w:bCs/>
                <w:color w:val="auto"/>
                <w:sz w:val="24"/>
              </w:rPr>
              <w:t>仟</w:t>
            </w:r>
            <w:r>
              <w:rPr>
                <w:rFonts w:hint="eastAsia" w:ascii="方正仿宋_GBK" w:hAnsi="方正仿宋_GBK" w:eastAsia="方正仿宋_GBK" w:cs="方正仿宋_GBK"/>
                <w:b/>
                <w:bCs/>
                <w:color w:val="auto"/>
                <w:sz w:val="24"/>
                <w:u w:val="single"/>
              </w:rPr>
              <w:t xml:space="preserve">    </w:t>
            </w:r>
            <w:r>
              <w:rPr>
                <w:rFonts w:hint="eastAsia" w:ascii="方正仿宋_GBK" w:hAnsi="方正仿宋_GBK" w:eastAsia="方正仿宋_GBK" w:cs="方正仿宋_GBK"/>
                <w:b/>
                <w:bCs/>
                <w:color w:val="auto"/>
                <w:sz w:val="24"/>
              </w:rPr>
              <w:t>佰</w:t>
            </w:r>
            <w:r>
              <w:rPr>
                <w:rFonts w:hint="eastAsia" w:ascii="方正仿宋_GBK" w:hAnsi="方正仿宋_GBK" w:eastAsia="方正仿宋_GBK" w:cs="方正仿宋_GBK"/>
                <w:b/>
                <w:bCs/>
                <w:color w:val="auto"/>
                <w:sz w:val="24"/>
                <w:u w:val="single"/>
              </w:rPr>
              <w:t xml:space="preserve">    </w:t>
            </w:r>
            <w:r>
              <w:rPr>
                <w:rFonts w:hint="eastAsia" w:ascii="方正仿宋_GBK" w:hAnsi="方正仿宋_GBK" w:eastAsia="方正仿宋_GBK" w:cs="方正仿宋_GBK"/>
                <w:b/>
                <w:bCs/>
                <w:color w:val="auto"/>
                <w:sz w:val="24"/>
              </w:rPr>
              <w:t>拾</w:t>
            </w:r>
            <w:r>
              <w:rPr>
                <w:rFonts w:hint="eastAsia" w:ascii="方正仿宋_GBK" w:hAnsi="方正仿宋_GBK" w:eastAsia="方正仿宋_GBK" w:cs="方正仿宋_GBK"/>
                <w:b/>
                <w:bCs/>
                <w:color w:val="auto"/>
                <w:sz w:val="24"/>
                <w:u w:val="single"/>
              </w:rPr>
              <w:t xml:space="preserve">    </w:t>
            </w:r>
            <w:r>
              <w:rPr>
                <w:rFonts w:hint="eastAsia" w:ascii="方正仿宋_GBK" w:hAnsi="方正仿宋_GBK" w:eastAsia="方正仿宋_GBK" w:cs="方正仿宋_GBK"/>
                <w:b/>
                <w:bCs/>
                <w:color w:val="auto"/>
                <w:sz w:val="24"/>
              </w:rPr>
              <w:t>元</w:t>
            </w:r>
            <w:r>
              <w:rPr>
                <w:rFonts w:hint="eastAsia" w:ascii="方正仿宋_GBK" w:hAnsi="方正仿宋_GBK" w:eastAsia="方正仿宋_GBK" w:cs="方正仿宋_GBK"/>
                <w:b/>
                <w:bCs/>
                <w:color w:val="auto"/>
                <w:sz w:val="24"/>
                <w:u w:val="single"/>
              </w:rPr>
              <w:t xml:space="preserve">   </w:t>
            </w:r>
            <w:r>
              <w:rPr>
                <w:rFonts w:hint="eastAsia" w:ascii="方正仿宋_GBK" w:hAnsi="方正仿宋_GBK" w:eastAsia="方正仿宋_GBK" w:cs="方正仿宋_GBK"/>
                <w:b/>
                <w:bCs/>
                <w:color w:val="auto"/>
                <w:sz w:val="24"/>
              </w:rPr>
              <w:t>角</w:t>
            </w:r>
            <w:r>
              <w:rPr>
                <w:rFonts w:hint="eastAsia" w:ascii="方正仿宋_GBK" w:hAnsi="方正仿宋_GBK" w:eastAsia="方正仿宋_GBK" w:cs="方正仿宋_GBK"/>
                <w:b/>
                <w:bCs/>
                <w:color w:val="auto"/>
                <w:sz w:val="24"/>
                <w:u w:val="single"/>
              </w:rPr>
              <w:t xml:space="preserve">   </w:t>
            </w:r>
            <w:r>
              <w:rPr>
                <w:rFonts w:hint="eastAsia" w:ascii="方正仿宋_GBK" w:hAnsi="方正仿宋_GBK" w:eastAsia="方正仿宋_GBK" w:cs="方正仿宋_GBK"/>
                <w:b/>
                <w:bCs/>
                <w:color w:val="auto"/>
                <w:sz w:val="24"/>
              </w:rPr>
              <w:t>分</w:t>
            </w:r>
          </w:p>
        </w:tc>
      </w:tr>
    </w:tbl>
    <w:p>
      <w:pPr>
        <w:pStyle w:val="74"/>
        <w:spacing w:line="500" w:lineRule="exact"/>
        <w:ind w:firstLine="480" w:firstLineChars="200"/>
        <w:rPr>
          <w:rFonts w:eastAsia="仿宋_GB2312"/>
          <w:color w:val="auto"/>
          <w:sz w:val="28"/>
          <w:szCs w:val="28"/>
        </w:rPr>
      </w:pPr>
      <w:r>
        <w:rPr>
          <w:rFonts w:eastAsia="仿宋_GB2312"/>
          <w:color w:val="auto"/>
          <w:sz w:val="24"/>
        </w:rPr>
        <w:t>注：</w:t>
      </w:r>
      <w:r>
        <w:rPr>
          <w:rFonts w:eastAsia="仿宋_GB2312"/>
          <w:color w:val="auto"/>
          <w:sz w:val="24"/>
          <w:szCs w:val="30"/>
        </w:rPr>
        <w:t>投标人应分项进行填报，表中表格行数可自行添加。</w:t>
      </w:r>
      <w:r>
        <w:rPr>
          <w:rFonts w:eastAsia="仿宋_GB2312"/>
          <w:iCs/>
          <w:color w:val="auto"/>
          <w:sz w:val="24"/>
          <w:szCs w:val="28"/>
        </w:rPr>
        <w:t>招标文件中未列出的相关辅助材料和在实施过程中</w:t>
      </w:r>
      <w:r>
        <w:rPr>
          <w:rFonts w:hint="eastAsia" w:eastAsia="仿宋_GB2312"/>
          <w:iCs/>
          <w:color w:val="auto"/>
          <w:sz w:val="24"/>
          <w:szCs w:val="28"/>
          <w:highlight w:val="none"/>
          <w:lang w:eastAsia="zh-CN"/>
        </w:rPr>
        <w:t>涉及</w:t>
      </w:r>
      <w:r>
        <w:rPr>
          <w:rFonts w:eastAsia="仿宋_GB2312"/>
          <w:iCs/>
          <w:color w:val="auto"/>
          <w:sz w:val="24"/>
          <w:szCs w:val="28"/>
        </w:rPr>
        <w:t>的其它一切费用应在报价时一并考虑，项目实施过程中不再单独结算。</w:t>
      </w:r>
      <w:r>
        <w:rPr>
          <w:rFonts w:eastAsia="仿宋_GB2312"/>
          <w:b/>
          <w:color w:val="auto"/>
          <w:sz w:val="24"/>
          <w:szCs w:val="30"/>
        </w:rPr>
        <w:t>表中投标报价总计应与对应报价一览表中投标总价一致</w:t>
      </w:r>
      <w:r>
        <w:rPr>
          <w:rFonts w:eastAsia="仿宋_GB2312"/>
          <w:b/>
          <w:color w:val="auto"/>
          <w:sz w:val="24"/>
        </w:rPr>
        <w:t>。</w:t>
      </w:r>
    </w:p>
    <w:p>
      <w:pPr>
        <w:pStyle w:val="74"/>
        <w:spacing w:line="560" w:lineRule="exact"/>
        <w:rPr>
          <w:rFonts w:eastAsia="仿宋_GB2312"/>
          <w:color w:val="auto"/>
          <w:sz w:val="28"/>
          <w:szCs w:val="28"/>
          <w:u w:val="single"/>
        </w:rPr>
      </w:pPr>
      <w:r>
        <w:rPr>
          <w:rFonts w:eastAsia="仿宋_GB2312"/>
          <w:color w:val="auto"/>
          <w:sz w:val="24"/>
        </w:rPr>
        <w:t>单位公章（签章）：</w:t>
      </w:r>
      <w:r>
        <w:rPr>
          <w:rFonts w:eastAsia="仿宋_GB2312"/>
          <w:color w:val="auto"/>
          <w:sz w:val="24"/>
          <w:u w:val="single"/>
        </w:rPr>
        <w:t xml:space="preserve">              </w:t>
      </w:r>
      <w:r>
        <w:rPr>
          <w:rFonts w:eastAsia="仿宋_GB2312"/>
          <w:color w:val="auto"/>
          <w:sz w:val="24"/>
        </w:rPr>
        <w:t xml:space="preserve">  法定代表人（签章）：</w:t>
      </w:r>
      <w:r>
        <w:rPr>
          <w:rFonts w:eastAsia="仿宋_GB2312"/>
          <w:color w:val="auto"/>
          <w:sz w:val="24"/>
          <w:u w:val="single"/>
        </w:rPr>
        <w:t xml:space="preserve">    </w:t>
      </w:r>
      <w:r>
        <w:rPr>
          <w:rFonts w:eastAsia="仿宋_GB2312"/>
          <w:color w:val="auto"/>
          <w:sz w:val="28"/>
          <w:szCs w:val="28"/>
          <w:u w:val="single"/>
        </w:rPr>
        <w:t xml:space="preserve">     </w:t>
      </w:r>
    </w:p>
    <w:p>
      <w:pPr>
        <w:snapToGrid w:val="0"/>
        <w:spacing w:line="360" w:lineRule="auto"/>
        <w:ind w:firstLine="0" w:firstLineChars="0"/>
        <w:outlineLvl w:val="0"/>
        <w:rPr>
          <w:rFonts w:hint="eastAsia" w:ascii="宋体" w:hAnsi="宋体" w:cs="宋体"/>
          <w:color w:val="auto"/>
          <w:kern w:val="0"/>
        </w:rPr>
      </w:pPr>
      <w:r>
        <w:rPr>
          <w:color w:val="auto"/>
        </w:rPr>
        <w:br w:type="page"/>
      </w:r>
      <w:bookmarkStart w:id="230" w:name="_Toc47023142"/>
      <w:bookmarkStart w:id="231" w:name="_Toc40699945"/>
      <w:r>
        <w:rPr>
          <w:rFonts w:hint="eastAsia" w:ascii="宋体" w:hAnsi="宋体" w:cs="宋体"/>
          <w:b/>
          <w:bCs/>
          <w:color w:val="auto"/>
          <w:kern w:val="0"/>
          <w:sz w:val="32"/>
          <w:szCs w:val="32"/>
          <w:lang w:eastAsia="zh-CN"/>
        </w:rPr>
        <w:t>六</w:t>
      </w:r>
      <w:r>
        <w:rPr>
          <w:rFonts w:hint="eastAsia" w:ascii="宋体" w:hAnsi="宋体" w:cs="宋体"/>
          <w:b/>
          <w:bCs/>
          <w:color w:val="auto"/>
          <w:kern w:val="0"/>
          <w:sz w:val="32"/>
          <w:szCs w:val="32"/>
        </w:rPr>
        <w:t>、资格审查资料</w:t>
      </w:r>
      <w:bookmarkEnd w:id="226"/>
      <w:bookmarkEnd w:id="227"/>
      <w:bookmarkEnd w:id="230"/>
      <w:bookmarkEnd w:id="231"/>
    </w:p>
    <w:p>
      <w:pPr>
        <w:pStyle w:val="74"/>
        <w:spacing w:line="500" w:lineRule="exact"/>
        <w:ind w:firstLine="480" w:firstLineChars="200"/>
        <w:rPr>
          <w:rFonts w:hint="eastAsia" w:eastAsia="仿宋_GB2312"/>
          <w:iCs/>
          <w:color w:val="auto"/>
          <w:sz w:val="24"/>
          <w:szCs w:val="28"/>
        </w:rPr>
      </w:pPr>
      <w:bookmarkStart w:id="232" w:name="_Toc5786577"/>
      <w:bookmarkStart w:id="233" w:name="_Toc503983083"/>
      <w:bookmarkStart w:id="234" w:name="_Toc506205355"/>
      <w:bookmarkStart w:id="235" w:name="_Toc17892"/>
      <w:r>
        <w:rPr>
          <w:rFonts w:hint="eastAsia" w:eastAsia="仿宋_GB2312"/>
          <w:iCs/>
          <w:color w:val="auto"/>
          <w:sz w:val="24"/>
          <w:szCs w:val="28"/>
        </w:rPr>
        <w:t>（</w:t>
      </w:r>
      <w:bookmarkEnd w:id="232"/>
      <w:r>
        <w:rPr>
          <w:rFonts w:eastAsia="仿宋_GB2312"/>
          <w:iCs/>
          <w:color w:val="auto"/>
          <w:sz w:val="24"/>
          <w:szCs w:val="28"/>
        </w:rPr>
        <w:t>根据招标文件资格要求提供证件证明资料</w:t>
      </w:r>
      <w:r>
        <w:rPr>
          <w:rFonts w:hint="eastAsia" w:eastAsia="仿宋_GB2312"/>
          <w:iCs/>
          <w:color w:val="auto"/>
          <w:sz w:val="24"/>
          <w:szCs w:val="28"/>
        </w:rPr>
        <w:t>复印件并加盖单位公章）</w:t>
      </w:r>
    </w:p>
    <w:p>
      <w:pPr>
        <w:pStyle w:val="4"/>
        <w:snapToGrid w:val="0"/>
        <w:spacing w:before="0" w:after="0" w:line="360" w:lineRule="auto"/>
        <w:jc w:val="both"/>
        <w:rPr>
          <w:rFonts w:ascii="Times New Roman" w:hAnsi="Times New Roman"/>
          <w:color w:val="auto"/>
        </w:rPr>
      </w:pPr>
      <w:bookmarkStart w:id="236" w:name="_Toc13408"/>
      <w:bookmarkStart w:id="237" w:name="_Toc23908"/>
      <w:bookmarkStart w:id="238" w:name="_Toc19169"/>
      <w:r>
        <w:rPr>
          <w:rFonts w:hint="eastAsia" w:ascii="宋体" w:hAnsi="宋体" w:cs="宋体"/>
          <w:color w:val="auto"/>
        </w:rPr>
        <w:br w:type="column"/>
      </w:r>
      <w:bookmarkEnd w:id="233"/>
      <w:bookmarkEnd w:id="234"/>
      <w:bookmarkEnd w:id="235"/>
      <w:bookmarkEnd w:id="236"/>
      <w:bookmarkEnd w:id="237"/>
      <w:bookmarkEnd w:id="238"/>
      <w:bookmarkStart w:id="239" w:name="_Toc43369510"/>
      <w:bookmarkStart w:id="240" w:name="_Toc47023144"/>
      <w:r>
        <w:rPr>
          <w:rFonts w:hint="eastAsia" w:ascii="宋体" w:hAnsi="宋体" w:cs="宋体"/>
          <w:color w:val="auto"/>
          <w:lang w:val="en-US" w:eastAsia="zh-CN"/>
        </w:rPr>
        <w:t>七</w:t>
      </w:r>
      <w:r>
        <w:rPr>
          <w:rFonts w:hint="eastAsia" w:ascii="宋体" w:hAnsi="宋体" w:cs="宋体"/>
          <w:color w:val="auto"/>
        </w:rPr>
        <w:t>、</w:t>
      </w:r>
      <w:r>
        <w:rPr>
          <w:rFonts w:ascii="Times New Roman" w:hAnsi="Times New Roman"/>
          <w:color w:val="auto"/>
        </w:rPr>
        <w:t>投标人承担类似项目业绩一览表</w:t>
      </w:r>
      <w:bookmarkEnd w:id="239"/>
      <w:bookmarkEnd w:id="240"/>
    </w:p>
    <w:p>
      <w:pPr>
        <w:pStyle w:val="56"/>
        <w:spacing w:line="600" w:lineRule="exact"/>
        <w:jc w:val="center"/>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6"/>
          <w:szCs w:val="36"/>
        </w:rPr>
        <w:t>业绩资料</w:t>
      </w:r>
    </w:p>
    <w:p>
      <w:pPr>
        <w:pStyle w:val="56"/>
        <w:spacing w:line="560" w:lineRule="exact"/>
        <w:jc w:val="center"/>
        <w:rPr>
          <w:rFonts w:hint="eastAsia" w:ascii="方正仿宋_GBK" w:hAnsi="方正仿宋_GBK" w:eastAsia="方正仿宋_GBK" w:cs="方正仿宋_GBK"/>
          <w:color w:val="auto"/>
          <w:sz w:val="32"/>
          <w:szCs w:val="22"/>
        </w:rPr>
      </w:pPr>
      <w:r>
        <w:rPr>
          <w:rFonts w:hint="eastAsia" w:ascii="方正仿宋_GBK" w:hAnsi="方正仿宋_GBK" w:eastAsia="方正仿宋_GBK" w:cs="方正仿宋_GBK"/>
          <w:color w:val="auto"/>
          <w:sz w:val="32"/>
          <w:szCs w:val="22"/>
        </w:rPr>
        <w:t>按时间顺序依次提供业绩证明材料复印件并加盖单位公章</w:t>
      </w:r>
    </w:p>
    <w:tbl>
      <w:tblPr>
        <w:tblStyle w:val="30"/>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0"/>
        <w:gridCol w:w="2586"/>
        <w:gridCol w:w="2933"/>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56"/>
              <w:spacing w:line="56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序号</w:t>
            </w:r>
          </w:p>
        </w:tc>
        <w:tc>
          <w:tcPr>
            <w:tcW w:w="2586" w:type="dxa"/>
            <w:tcBorders>
              <w:top w:val="single" w:color="auto" w:sz="4" w:space="0"/>
              <w:left w:val="single" w:color="auto" w:sz="4" w:space="0"/>
              <w:bottom w:val="single" w:color="auto" w:sz="4" w:space="0"/>
              <w:right w:val="single" w:color="auto" w:sz="4" w:space="0"/>
            </w:tcBorders>
            <w:noWrap w:val="0"/>
            <w:vAlign w:val="center"/>
          </w:tcPr>
          <w:p>
            <w:pPr>
              <w:pStyle w:val="56"/>
              <w:spacing w:line="56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项目名称</w:t>
            </w:r>
          </w:p>
        </w:tc>
        <w:tc>
          <w:tcPr>
            <w:tcW w:w="2933" w:type="dxa"/>
            <w:tcBorders>
              <w:top w:val="single" w:color="auto" w:sz="4" w:space="0"/>
              <w:left w:val="single" w:color="auto" w:sz="4" w:space="0"/>
              <w:bottom w:val="single" w:color="auto" w:sz="4" w:space="0"/>
              <w:right w:val="single" w:color="auto" w:sz="4" w:space="0"/>
            </w:tcBorders>
            <w:noWrap w:val="0"/>
            <w:vAlign w:val="center"/>
          </w:tcPr>
          <w:p>
            <w:pPr>
              <w:pStyle w:val="56"/>
              <w:spacing w:line="560" w:lineRule="exact"/>
              <w:ind w:firstLine="210" w:firstLineChars="100"/>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采购单位</w:t>
            </w:r>
          </w:p>
        </w:tc>
        <w:tc>
          <w:tcPr>
            <w:tcW w:w="2305" w:type="dxa"/>
            <w:tcBorders>
              <w:top w:val="single" w:color="auto" w:sz="4" w:space="0"/>
              <w:left w:val="single" w:color="auto" w:sz="4" w:space="0"/>
              <w:bottom w:val="single" w:color="auto" w:sz="4" w:space="0"/>
              <w:right w:val="single" w:color="auto" w:sz="4" w:space="0"/>
            </w:tcBorders>
            <w:noWrap w:val="0"/>
            <w:vAlign w:val="center"/>
          </w:tcPr>
          <w:p>
            <w:pPr>
              <w:pStyle w:val="56"/>
              <w:spacing w:line="56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合同金额</w:t>
            </w:r>
          </w:p>
          <w:p>
            <w:pPr>
              <w:pStyle w:val="56"/>
              <w:spacing w:line="56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6"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56"/>
              <w:spacing w:line="560" w:lineRule="exact"/>
              <w:jc w:val="center"/>
              <w:rPr>
                <w:rFonts w:hint="eastAsia" w:ascii="方正仿宋_GBK" w:hAnsi="方正仿宋_GBK" w:eastAsia="方正仿宋_GBK" w:cs="方正仿宋_GBK"/>
                <w:color w:val="auto"/>
                <w:szCs w:val="21"/>
              </w:rPr>
            </w:pPr>
          </w:p>
        </w:tc>
        <w:tc>
          <w:tcPr>
            <w:tcW w:w="2586" w:type="dxa"/>
            <w:tcBorders>
              <w:top w:val="single" w:color="auto" w:sz="4" w:space="0"/>
              <w:left w:val="single" w:color="auto" w:sz="4" w:space="0"/>
              <w:bottom w:val="single" w:color="auto" w:sz="4" w:space="0"/>
              <w:right w:val="single" w:color="auto" w:sz="4" w:space="0"/>
            </w:tcBorders>
            <w:noWrap w:val="0"/>
            <w:vAlign w:val="center"/>
          </w:tcPr>
          <w:p>
            <w:pPr>
              <w:pStyle w:val="56"/>
              <w:spacing w:line="560" w:lineRule="exact"/>
              <w:jc w:val="center"/>
              <w:rPr>
                <w:rFonts w:hint="eastAsia" w:ascii="方正仿宋_GBK" w:hAnsi="方正仿宋_GBK" w:eastAsia="方正仿宋_GBK" w:cs="方正仿宋_GBK"/>
                <w:color w:val="auto"/>
                <w:szCs w:val="21"/>
              </w:rPr>
            </w:pPr>
          </w:p>
        </w:tc>
        <w:tc>
          <w:tcPr>
            <w:tcW w:w="2933" w:type="dxa"/>
            <w:tcBorders>
              <w:top w:val="single" w:color="auto" w:sz="4" w:space="0"/>
              <w:left w:val="single" w:color="auto" w:sz="4" w:space="0"/>
              <w:bottom w:val="single" w:color="auto" w:sz="4" w:space="0"/>
              <w:right w:val="single" w:color="auto" w:sz="4" w:space="0"/>
            </w:tcBorders>
            <w:noWrap w:val="0"/>
            <w:vAlign w:val="center"/>
          </w:tcPr>
          <w:p>
            <w:pPr>
              <w:pStyle w:val="56"/>
              <w:spacing w:line="560" w:lineRule="exact"/>
              <w:jc w:val="center"/>
              <w:rPr>
                <w:rFonts w:hint="eastAsia" w:ascii="方正仿宋_GBK" w:hAnsi="方正仿宋_GBK" w:eastAsia="方正仿宋_GBK" w:cs="方正仿宋_GBK"/>
                <w:color w:val="auto"/>
                <w:szCs w:val="21"/>
              </w:rPr>
            </w:pPr>
          </w:p>
        </w:tc>
        <w:tc>
          <w:tcPr>
            <w:tcW w:w="2305" w:type="dxa"/>
            <w:tcBorders>
              <w:top w:val="single" w:color="auto" w:sz="4" w:space="0"/>
              <w:left w:val="single" w:color="auto" w:sz="4" w:space="0"/>
              <w:bottom w:val="single" w:color="auto" w:sz="4" w:space="0"/>
              <w:right w:val="single" w:color="auto" w:sz="4" w:space="0"/>
            </w:tcBorders>
            <w:noWrap w:val="0"/>
            <w:vAlign w:val="center"/>
          </w:tcPr>
          <w:p>
            <w:pPr>
              <w:pStyle w:val="56"/>
              <w:spacing w:line="560" w:lineRule="exact"/>
              <w:jc w:val="center"/>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6"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56"/>
              <w:spacing w:line="560" w:lineRule="exact"/>
              <w:jc w:val="center"/>
              <w:rPr>
                <w:rFonts w:hint="eastAsia" w:ascii="方正仿宋_GBK" w:hAnsi="方正仿宋_GBK" w:eastAsia="方正仿宋_GBK" w:cs="方正仿宋_GBK"/>
                <w:color w:val="auto"/>
                <w:szCs w:val="21"/>
              </w:rPr>
            </w:pPr>
          </w:p>
        </w:tc>
        <w:tc>
          <w:tcPr>
            <w:tcW w:w="2586" w:type="dxa"/>
            <w:tcBorders>
              <w:top w:val="single" w:color="auto" w:sz="4" w:space="0"/>
              <w:left w:val="single" w:color="auto" w:sz="4" w:space="0"/>
              <w:bottom w:val="single" w:color="auto" w:sz="4" w:space="0"/>
              <w:right w:val="single" w:color="auto" w:sz="4" w:space="0"/>
            </w:tcBorders>
            <w:noWrap w:val="0"/>
            <w:vAlign w:val="center"/>
          </w:tcPr>
          <w:p>
            <w:pPr>
              <w:pStyle w:val="56"/>
              <w:spacing w:line="560" w:lineRule="exact"/>
              <w:jc w:val="center"/>
              <w:rPr>
                <w:rFonts w:hint="eastAsia" w:ascii="方正仿宋_GBK" w:hAnsi="方正仿宋_GBK" w:eastAsia="方正仿宋_GBK" w:cs="方正仿宋_GBK"/>
                <w:color w:val="auto"/>
                <w:szCs w:val="21"/>
              </w:rPr>
            </w:pPr>
          </w:p>
        </w:tc>
        <w:tc>
          <w:tcPr>
            <w:tcW w:w="2933" w:type="dxa"/>
            <w:tcBorders>
              <w:top w:val="single" w:color="auto" w:sz="4" w:space="0"/>
              <w:left w:val="single" w:color="auto" w:sz="4" w:space="0"/>
              <w:bottom w:val="single" w:color="auto" w:sz="4" w:space="0"/>
              <w:right w:val="single" w:color="auto" w:sz="4" w:space="0"/>
            </w:tcBorders>
            <w:noWrap w:val="0"/>
            <w:vAlign w:val="center"/>
          </w:tcPr>
          <w:p>
            <w:pPr>
              <w:pStyle w:val="56"/>
              <w:spacing w:line="560" w:lineRule="exact"/>
              <w:jc w:val="center"/>
              <w:rPr>
                <w:rFonts w:hint="eastAsia" w:ascii="方正仿宋_GBK" w:hAnsi="方正仿宋_GBK" w:eastAsia="方正仿宋_GBK" w:cs="方正仿宋_GBK"/>
                <w:color w:val="auto"/>
                <w:szCs w:val="21"/>
              </w:rPr>
            </w:pPr>
          </w:p>
        </w:tc>
        <w:tc>
          <w:tcPr>
            <w:tcW w:w="2305" w:type="dxa"/>
            <w:tcBorders>
              <w:top w:val="single" w:color="auto" w:sz="4" w:space="0"/>
              <w:left w:val="single" w:color="auto" w:sz="4" w:space="0"/>
              <w:bottom w:val="single" w:color="auto" w:sz="4" w:space="0"/>
              <w:right w:val="single" w:color="auto" w:sz="4" w:space="0"/>
            </w:tcBorders>
            <w:noWrap w:val="0"/>
            <w:vAlign w:val="center"/>
          </w:tcPr>
          <w:p>
            <w:pPr>
              <w:pStyle w:val="56"/>
              <w:spacing w:line="560" w:lineRule="exact"/>
              <w:jc w:val="center"/>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6"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56"/>
              <w:spacing w:line="560" w:lineRule="exact"/>
              <w:jc w:val="center"/>
              <w:rPr>
                <w:rFonts w:hint="eastAsia" w:ascii="方正仿宋_GBK" w:hAnsi="方正仿宋_GBK" w:eastAsia="方正仿宋_GBK" w:cs="方正仿宋_GBK"/>
                <w:color w:val="auto"/>
                <w:szCs w:val="21"/>
              </w:rPr>
            </w:pPr>
          </w:p>
        </w:tc>
        <w:tc>
          <w:tcPr>
            <w:tcW w:w="2586" w:type="dxa"/>
            <w:tcBorders>
              <w:top w:val="single" w:color="auto" w:sz="4" w:space="0"/>
              <w:left w:val="single" w:color="auto" w:sz="4" w:space="0"/>
              <w:bottom w:val="single" w:color="auto" w:sz="4" w:space="0"/>
              <w:right w:val="single" w:color="auto" w:sz="4" w:space="0"/>
            </w:tcBorders>
            <w:noWrap w:val="0"/>
            <w:vAlign w:val="center"/>
          </w:tcPr>
          <w:p>
            <w:pPr>
              <w:pStyle w:val="56"/>
              <w:spacing w:line="560" w:lineRule="exact"/>
              <w:jc w:val="center"/>
              <w:rPr>
                <w:rFonts w:hint="eastAsia" w:ascii="方正仿宋_GBK" w:hAnsi="方正仿宋_GBK" w:eastAsia="方正仿宋_GBK" w:cs="方正仿宋_GBK"/>
                <w:color w:val="auto"/>
                <w:szCs w:val="21"/>
              </w:rPr>
            </w:pPr>
          </w:p>
        </w:tc>
        <w:tc>
          <w:tcPr>
            <w:tcW w:w="2933" w:type="dxa"/>
            <w:tcBorders>
              <w:top w:val="single" w:color="auto" w:sz="4" w:space="0"/>
              <w:left w:val="single" w:color="auto" w:sz="4" w:space="0"/>
              <w:bottom w:val="single" w:color="auto" w:sz="4" w:space="0"/>
              <w:right w:val="single" w:color="auto" w:sz="4" w:space="0"/>
            </w:tcBorders>
            <w:noWrap w:val="0"/>
            <w:vAlign w:val="center"/>
          </w:tcPr>
          <w:p>
            <w:pPr>
              <w:pStyle w:val="56"/>
              <w:spacing w:line="560" w:lineRule="exact"/>
              <w:jc w:val="center"/>
              <w:rPr>
                <w:rFonts w:hint="eastAsia" w:ascii="方正仿宋_GBK" w:hAnsi="方正仿宋_GBK" w:eastAsia="方正仿宋_GBK" w:cs="方正仿宋_GBK"/>
                <w:color w:val="auto"/>
                <w:szCs w:val="21"/>
              </w:rPr>
            </w:pPr>
          </w:p>
        </w:tc>
        <w:tc>
          <w:tcPr>
            <w:tcW w:w="2305" w:type="dxa"/>
            <w:tcBorders>
              <w:top w:val="single" w:color="auto" w:sz="4" w:space="0"/>
              <w:left w:val="single" w:color="auto" w:sz="4" w:space="0"/>
              <w:bottom w:val="single" w:color="auto" w:sz="4" w:space="0"/>
              <w:right w:val="single" w:color="auto" w:sz="4" w:space="0"/>
            </w:tcBorders>
            <w:noWrap w:val="0"/>
            <w:vAlign w:val="center"/>
          </w:tcPr>
          <w:p>
            <w:pPr>
              <w:pStyle w:val="56"/>
              <w:spacing w:line="560" w:lineRule="exact"/>
              <w:jc w:val="center"/>
              <w:rPr>
                <w:rFonts w:hint="eastAsia" w:ascii="方正仿宋_GBK" w:hAnsi="方正仿宋_GBK" w:eastAsia="方正仿宋_GBK" w:cs="方正仿宋_GBK"/>
                <w:color w:val="auto"/>
                <w:szCs w:val="21"/>
              </w:rPr>
            </w:pPr>
          </w:p>
        </w:tc>
      </w:tr>
    </w:tbl>
    <w:p>
      <w:pPr>
        <w:ind w:firstLine="0" w:firstLineChars="0"/>
        <w:rPr>
          <w:rFonts w:hint="eastAsia" w:ascii="方正仿宋_GBK" w:hAnsi="方正仿宋_GBK" w:eastAsia="方正仿宋_GBK" w:cs="方正仿宋_GBK"/>
          <w:color w:val="auto"/>
        </w:rPr>
      </w:pPr>
    </w:p>
    <w:p>
      <w:pPr>
        <w:snapToGrid w:val="0"/>
        <w:spacing w:line="360" w:lineRule="auto"/>
        <w:rPr>
          <w:rFonts w:hint="eastAsia" w:ascii="方正仿宋_GBK" w:hAnsi="方正仿宋_GBK" w:eastAsia="方正仿宋_GBK" w:cs="方正仿宋_GBK"/>
          <w:color w:val="auto"/>
          <w:kern w:val="0"/>
          <w:sz w:val="28"/>
          <w:szCs w:val="32"/>
        </w:rPr>
      </w:pPr>
      <w:r>
        <w:rPr>
          <w:rFonts w:hint="eastAsia" w:ascii="方正仿宋_GBK" w:hAnsi="方正仿宋_GBK" w:eastAsia="方正仿宋_GBK" w:cs="方正仿宋_GBK"/>
          <w:color w:val="auto"/>
          <w:kern w:val="0"/>
          <w:sz w:val="28"/>
          <w:szCs w:val="32"/>
        </w:rPr>
        <w:t>注：1.本表后应附相关证明材料：合同协议书等复印件，具体要求见第二章评标办法。</w:t>
      </w:r>
    </w:p>
    <w:p>
      <w:pPr>
        <w:snapToGrid w:val="0"/>
        <w:spacing w:line="360" w:lineRule="auto"/>
        <w:rPr>
          <w:rFonts w:hint="eastAsia" w:ascii="宋体" w:hAnsi="宋体" w:cs="宋体"/>
          <w:color w:val="auto"/>
          <w:kern w:val="0"/>
        </w:rPr>
      </w:pPr>
      <w:bookmarkStart w:id="241" w:name="_Toc503983086"/>
      <w:bookmarkStart w:id="242" w:name="_Toc506205358"/>
      <w:bookmarkStart w:id="243" w:name="_Toc20463"/>
    </w:p>
    <w:p>
      <w:pPr>
        <w:pStyle w:val="40"/>
        <w:snapToGrid w:val="0"/>
        <w:spacing w:line="360" w:lineRule="auto"/>
        <w:rPr>
          <w:rFonts w:hint="eastAsia" w:hAnsi="宋体" w:cs="宋体"/>
          <w:color w:val="auto"/>
          <w:lang w:eastAsia="zh-CN"/>
        </w:rPr>
      </w:pPr>
    </w:p>
    <w:p>
      <w:pPr>
        <w:snapToGrid w:val="0"/>
        <w:spacing w:line="360" w:lineRule="auto"/>
        <w:ind w:firstLine="0" w:firstLineChars="0"/>
        <w:rPr>
          <w:rFonts w:hint="eastAsia" w:ascii="宋体" w:hAnsi="宋体" w:cs="宋体"/>
          <w:color w:val="auto"/>
          <w:kern w:val="0"/>
        </w:rPr>
      </w:pPr>
    </w:p>
    <w:bookmarkEnd w:id="241"/>
    <w:bookmarkEnd w:id="242"/>
    <w:bookmarkEnd w:id="243"/>
    <w:p>
      <w:pPr>
        <w:rPr>
          <w:rFonts w:hint="eastAsia" w:ascii="Times New Roman" w:hAnsi="Times New Roman"/>
          <w:color w:val="auto"/>
        </w:rPr>
      </w:pPr>
      <w:bookmarkStart w:id="244" w:name="_Toc47023146"/>
      <w:bookmarkStart w:id="245" w:name="_Toc43369512"/>
      <w:r>
        <w:rPr>
          <w:rFonts w:hint="eastAsia" w:ascii="Times New Roman" w:hAnsi="Times New Roman"/>
          <w:color w:val="auto"/>
        </w:rPr>
        <w:br w:type="page"/>
      </w:r>
    </w:p>
    <w:p>
      <w:pPr>
        <w:pStyle w:val="69"/>
        <w:outlineLvl w:val="0"/>
        <w:rPr>
          <w:rFonts w:ascii="Times New Roman" w:hAnsi="Times New Roman"/>
          <w:color w:val="auto"/>
        </w:rPr>
      </w:pPr>
      <w:r>
        <w:rPr>
          <w:rFonts w:hint="eastAsia" w:ascii="Times New Roman" w:hAnsi="Times New Roman"/>
          <w:color w:val="auto"/>
          <w:lang w:val="en-US" w:eastAsia="zh-CN"/>
        </w:rPr>
        <w:t>八</w:t>
      </w:r>
      <w:r>
        <w:rPr>
          <w:rFonts w:ascii="Times New Roman" w:hAnsi="Times New Roman"/>
          <w:color w:val="auto"/>
        </w:rPr>
        <w:t>、项目实施方案</w:t>
      </w:r>
      <w:bookmarkEnd w:id="244"/>
      <w:bookmarkEnd w:id="245"/>
    </w:p>
    <w:p>
      <w:pPr>
        <w:pStyle w:val="73"/>
        <w:jc w:val="center"/>
        <w:rPr>
          <w:rFonts w:ascii="Times New Roman" w:hAnsi="Times New Roman"/>
          <w:color w:val="auto"/>
        </w:rPr>
      </w:pPr>
    </w:p>
    <w:p>
      <w:pPr>
        <w:pStyle w:val="73"/>
        <w:spacing w:line="500" w:lineRule="exact"/>
        <w:ind w:firstLine="480" w:firstLineChars="200"/>
        <w:rPr>
          <w:rFonts w:ascii="Times New Roman" w:hAnsi="Times New Roman" w:eastAsia="仿宋_GB2312"/>
          <w:color w:val="0000FF"/>
          <w:sz w:val="24"/>
          <w:szCs w:val="24"/>
        </w:rPr>
      </w:pPr>
      <w:r>
        <w:rPr>
          <w:rFonts w:ascii="Times New Roman" w:hAnsi="Times New Roman" w:eastAsia="仿宋_GB2312"/>
          <w:color w:val="0000FF"/>
          <w:sz w:val="24"/>
          <w:szCs w:val="24"/>
        </w:rPr>
        <w:t>各投标人根据评标办法中项目实施方案的得分要求自行编制内容供评委打分，格式自拟。</w:t>
      </w:r>
    </w:p>
    <w:p>
      <w:pPr>
        <w:keepNext/>
        <w:keepLines/>
        <w:snapToGrid w:val="0"/>
        <w:spacing w:line="360" w:lineRule="auto"/>
        <w:rPr>
          <w:rFonts w:hint="eastAsia" w:ascii="宋体" w:hAnsi="宋体" w:cs="宋体"/>
          <w:color w:val="auto"/>
        </w:rPr>
      </w:pPr>
    </w:p>
    <w:p>
      <w:pPr>
        <w:snapToGrid w:val="0"/>
        <w:spacing w:line="360" w:lineRule="auto"/>
        <w:rPr>
          <w:rFonts w:hint="eastAsia" w:ascii="宋体" w:hAnsi="宋体" w:cs="宋体"/>
          <w:color w:val="auto"/>
          <w:kern w:val="0"/>
        </w:rPr>
      </w:pPr>
    </w:p>
    <w:p>
      <w:pPr>
        <w:snapToGrid w:val="0"/>
        <w:spacing w:line="360" w:lineRule="auto"/>
        <w:rPr>
          <w:rFonts w:hint="eastAsia" w:ascii="宋体" w:hAnsi="宋体" w:cs="宋体"/>
          <w:color w:val="auto"/>
          <w:kern w:val="0"/>
        </w:rPr>
      </w:pPr>
    </w:p>
    <w:p>
      <w:pPr>
        <w:widowControl/>
        <w:snapToGrid w:val="0"/>
        <w:spacing w:line="360" w:lineRule="auto"/>
        <w:ind w:firstLine="0" w:firstLineChars="0"/>
        <w:jc w:val="left"/>
        <w:rPr>
          <w:rFonts w:hint="eastAsia" w:ascii="宋体" w:hAnsi="宋体" w:cs="宋体"/>
          <w:color w:val="auto"/>
          <w:kern w:val="0"/>
        </w:rPr>
      </w:pPr>
    </w:p>
    <w:p>
      <w:pPr>
        <w:pStyle w:val="76"/>
        <w:outlineLvl w:val="1"/>
        <w:rPr>
          <w:rFonts w:ascii="Times New Roman" w:hAnsi="Times New Roman"/>
          <w:color w:val="auto"/>
        </w:rPr>
      </w:pPr>
      <w:bookmarkStart w:id="246" w:name="_Toc22249"/>
      <w:bookmarkStart w:id="247" w:name="_Toc20955"/>
      <w:bookmarkStart w:id="248" w:name="_Toc13598"/>
      <w:r>
        <w:rPr>
          <w:rFonts w:hint="eastAsia" w:ascii="宋体" w:hAnsi="宋体" w:cs="宋体"/>
          <w:color w:val="auto"/>
        </w:rPr>
        <w:br w:type="column"/>
      </w:r>
      <w:bookmarkEnd w:id="246"/>
      <w:bookmarkEnd w:id="247"/>
      <w:bookmarkEnd w:id="248"/>
      <w:bookmarkStart w:id="249" w:name="_Toc43369513"/>
      <w:bookmarkStart w:id="250" w:name="_Toc47023147"/>
      <w:r>
        <w:rPr>
          <w:rFonts w:hint="eastAsia" w:ascii="Times New Roman" w:hAnsi="Times New Roman"/>
          <w:color w:val="auto"/>
          <w:lang w:eastAsia="zh-CN"/>
        </w:rPr>
        <w:t>九</w:t>
      </w:r>
      <w:r>
        <w:rPr>
          <w:rFonts w:ascii="Times New Roman" w:hAnsi="Times New Roman"/>
          <w:color w:val="auto"/>
        </w:rPr>
        <w:t>、投标人</w:t>
      </w:r>
      <w:r>
        <w:rPr>
          <w:rFonts w:hint="eastAsia" w:ascii="Times New Roman" w:hAnsi="Times New Roman"/>
          <w:color w:val="auto"/>
          <w:lang w:val="en-US" w:eastAsia="zh-CN"/>
        </w:rPr>
        <w:t>相关</w:t>
      </w:r>
      <w:r>
        <w:rPr>
          <w:rFonts w:ascii="Times New Roman" w:hAnsi="Times New Roman"/>
          <w:color w:val="auto"/>
        </w:rPr>
        <w:t>人员一览表</w:t>
      </w:r>
      <w:bookmarkEnd w:id="249"/>
      <w:bookmarkEnd w:id="250"/>
    </w:p>
    <w:p>
      <w:pPr>
        <w:pStyle w:val="68"/>
        <w:spacing w:line="600" w:lineRule="exact"/>
        <w:jc w:val="center"/>
        <w:outlineLvl w:val="0"/>
        <w:rPr>
          <w:b/>
          <w:bCs/>
          <w:color w:val="auto"/>
          <w:sz w:val="32"/>
          <w:szCs w:val="32"/>
        </w:rPr>
      </w:pPr>
      <w:r>
        <w:rPr>
          <w:b/>
          <w:bCs/>
          <w:color w:val="auto"/>
          <w:sz w:val="32"/>
          <w:szCs w:val="32"/>
        </w:rPr>
        <w:t>投标人项目管理、技术及服务人员一览表</w:t>
      </w:r>
    </w:p>
    <w:p>
      <w:pPr>
        <w:pStyle w:val="68"/>
        <w:spacing w:line="600" w:lineRule="exact"/>
        <w:jc w:val="center"/>
        <w:rPr>
          <w:b/>
          <w:bCs/>
          <w:color w:val="auto"/>
          <w:sz w:val="32"/>
          <w:szCs w:val="32"/>
        </w:rPr>
      </w:pPr>
    </w:p>
    <w:tbl>
      <w:tblPr>
        <w:tblStyle w:val="30"/>
        <w:tblpPr w:leftFromText="180" w:rightFromText="180" w:vertAnchor="text" w:horzAnchor="margin" w:tblpXSpec="center" w:tblpY="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080"/>
        <w:gridCol w:w="1920"/>
        <w:gridCol w:w="960"/>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pStyle w:val="68"/>
              <w:widowControl/>
              <w:adjustRightInd w:val="0"/>
              <w:snapToGrid w:val="0"/>
              <w:spacing w:before="100" w:beforeAutospacing="1"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姓  名</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68"/>
              <w:widowControl/>
              <w:adjustRightInd w:val="0"/>
              <w:snapToGrid w:val="0"/>
              <w:spacing w:before="100" w:beforeAutospacing="1"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本项目拟任职务</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68"/>
              <w:widowControl/>
              <w:adjustRightInd w:val="0"/>
              <w:snapToGrid w:val="0"/>
              <w:spacing w:before="100" w:beforeAutospacing="1" w:line="240" w:lineRule="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学 历</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pStyle w:val="68"/>
              <w:widowControl/>
              <w:adjustRightInd w:val="0"/>
              <w:snapToGrid w:val="0"/>
              <w:spacing w:before="100" w:beforeAutospacing="1"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身份证号</w:t>
            </w: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68"/>
              <w:widowControl/>
              <w:adjustRightInd w:val="0"/>
              <w:snapToGrid w:val="0"/>
              <w:spacing w:before="100" w:beforeAutospacing="1"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办公电话</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68"/>
              <w:widowControl/>
              <w:adjustRightInd w:val="0"/>
              <w:snapToGrid w:val="0"/>
              <w:spacing w:before="100" w:beforeAutospacing="1"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68"/>
              <w:spacing w:line="240" w:lineRule="auto"/>
              <w:jc w:val="center"/>
              <w:rPr>
                <w:rFonts w:hint="eastAsia" w:ascii="方正仿宋_GBK" w:hAnsi="方正仿宋_GBK" w:eastAsia="方正仿宋_GBK" w:cs="方正仿宋_GBK"/>
                <w:color w:val="auto"/>
                <w:sz w:val="28"/>
                <w:szCs w:val="28"/>
              </w:rPr>
            </w:pPr>
          </w:p>
        </w:tc>
      </w:tr>
    </w:tbl>
    <w:p>
      <w:pPr>
        <w:pStyle w:val="68"/>
        <w:spacing w:line="460" w:lineRule="exact"/>
        <w:ind w:firstLine="396" w:firstLineChars="165"/>
        <w:rPr>
          <w:rFonts w:eastAsia="仿宋_GB2312"/>
          <w:color w:val="auto"/>
          <w:sz w:val="24"/>
        </w:rPr>
      </w:pPr>
      <w:r>
        <w:rPr>
          <w:rFonts w:eastAsia="仿宋_GB2312"/>
          <w:color w:val="auto"/>
          <w:sz w:val="24"/>
        </w:rPr>
        <w:t>注：如投标人中标，项目管理</w:t>
      </w:r>
      <w:r>
        <w:rPr>
          <w:rFonts w:hint="eastAsia" w:eastAsia="仿宋_GB2312"/>
          <w:color w:val="auto"/>
          <w:sz w:val="24"/>
          <w:lang w:eastAsia="zh-CN"/>
        </w:rPr>
        <w:t>、</w:t>
      </w:r>
      <w:r>
        <w:rPr>
          <w:rFonts w:hint="eastAsia" w:eastAsia="仿宋_GB2312"/>
          <w:color w:val="auto"/>
          <w:sz w:val="24"/>
          <w:lang w:val="en-US" w:eastAsia="zh-CN"/>
        </w:rPr>
        <w:t>技术及服务</w:t>
      </w:r>
      <w:r>
        <w:rPr>
          <w:rFonts w:eastAsia="仿宋_GB2312"/>
          <w:color w:val="auto"/>
          <w:sz w:val="24"/>
        </w:rPr>
        <w:t>人员必须按本表承诺人员操作，不得随意更换。按招标文件要求附相关人员证书。</w:t>
      </w:r>
    </w:p>
    <w:p>
      <w:pPr>
        <w:pStyle w:val="68"/>
        <w:spacing w:line="500" w:lineRule="exact"/>
        <w:ind w:firstLine="280"/>
        <w:rPr>
          <w:rFonts w:eastAsia="仿宋_GB2312"/>
          <w:color w:val="auto"/>
          <w:sz w:val="24"/>
        </w:rPr>
      </w:pPr>
    </w:p>
    <w:p>
      <w:pPr>
        <w:pStyle w:val="68"/>
        <w:spacing w:line="500" w:lineRule="exact"/>
        <w:ind w:firstLine="280"/>
        <w:rPr>
          <w:rFonts w:eastAsia="仿宋_GB2312"/>
          <w:color w:val="auto"/>
          <w:sz w:val="24"/>
        </w:rPr>
      </w:pPr>
    </w:p>
    <w:p>
      <w:pPr>
        <w:pStyle w:val="68"/>
        <w:spacing w:line="560" w:lineRule="exact"/>
        <w:rPr>
          <w:rFonts w:eastAsia="仿宋_GB2312"/>
          <w:color w:val="auto"/>
          <w:sz w:val="28"/>
          <w:szCs w:val="28"/>
          <w:u w:val="single"/>
        </w:rPr>
      </w:pPr>
      <w:r>
        <w:rPr>
          <w:rFonts w:eastAsia="仿宋_GB2312"/>
          <w:color w:val="auto"/>
          <w:sz w:val="24"/>
        </w:rPr>
        <w:t>单位公章（签章）：</w:t>
      </w:r>
      <w:r>
        <w:rPr>
          <w:rFonts w:eastAsia="仿宋_GB2312"/>
          <w:color w:val="auto"/>
          <w:sz w:val="24"/>
          <w:u w:val="single"/>
        </w:rPr>
        <w:t xml:space="preserve">              </w:t>
      </w:r>
      <w:r>
        <w:rPr>
          <w:rFonts w:eastAsia="仿宋_GB2312"/>
          <w:color w:val="auto"/>
          <w:sz w:val="24"/>
        </w:rPr>
        <w:t xml:space="preserve">  法定代表人（签章）：</w:t>
      </w:r>
      <w:r>
        <w:rPr>
          <w:rFonts w:eastAsia="仿宋_GB2312"/>
          <w:color w:val="auto"/>
          <w:sz w:val="24"/>
          <w:u w:val="single"/>
        </w:rPr>
        <w:t xml:space="preserve">    </w:t>
      </w:r>
      <w:r>
        <w:rPr>
          <w:rFonts w:eastAsia="仿宋_GB2312"/>
          <w:color w:val="auto"/>
          <w:sz w:val="28"/>
          <w:szCs w:val="28"/>
          <w:u w:val="single"/>
        </w:rPr>
        <w:t xml:space="preserve">         </w:t>
      </w:r>
    </w:p>
    <w:p>
      <w:pPr>
        <w:snapToGrid w:val="0"/>
        <w:spacing w:line="360" w:lineRule="auto"/>
        <w:ind w:firstLine="0" w:firstLineChars="0"/>
        <w:rPr>
          <w:rFonts w:hint="eastAsia" w:ascii="宋体" w:hAnsi="宋体" w:cs="宋体"/>
          <w:color w:val="auto"/>
          <w:kern w:val="0"/>
        </w:rPr>
      </w:pPr>
    </w:p>
    <w:p>
      <w:pPr>
        <w:snapToGrid w:val="0"/>
        <w:spacing w:line="360" w:lineRule="auto"/>
        <w:rPr>
          <w:rFonts w:hint="eastAsia" w:ascii="宋体" w:hAnsi="宋体" w:cs="宋体"/>
          <w:color w:val="auto"/>
          <w:kern w:val="0"/>
        </w:rPr>
      </w:pPr>
    </w:p>
    <w:p>
      <w:pPr>
        <w:pStyle w:val="70"/>
        <w:outlineLvl w:val="0"/>
        <w:rPr>
          <w:rFonts w:ascii="Times New Roman" w:hAnsi="Times New Roman"/>
          <w:color w:val="auto"/>
        </w:rPr>
      </w:pPr>
      <w:bookmarkStart w:id="251" w:name="_Toc47023148"/>
      <w:bookmarkStart w:id="252" w:name="_Toc43369514"/>
      <w:r>
        <w:rPr>
          <w:rFonts w:hint="eastAsia" w:ascii="Times New Roman" w:hAnsi="Times New Roman"/>
          <w:color w:val="auto"/>
        </w:rPr>
        <w:t>十</w:t>
      </w:r>
      <w:r>
        <w:rPr>
          <w:rFonts w:ascii="Times New Roman" w:hAnsi="Times New Roman"/>
          <w:color w:val="auto"/>
        </w:rPr>
        <w:t>、</w:t>
      </w:r>
      <w:r>
        <w:rPr>
          <w:rFonts w:hint="eastAsia" w:ascii="Times New Roman" w:hAnsi="Times New Roman"/>
          <w:color w:val="auto"/>
        </w:rPr>
        <w:t>商务和</w:t>
      </w:r>
      <w:r>
        <w:rPr>
          <w:rFonts w:ascii="Times New Roman" w:hAnsi="Times New Roman"/>
          <w:color w:val="auto"/>
        </w:rPr>
        <w:t>技术响应偏差表</w:t>
      </w:r>
      <w:bookmarkEnd w:id="251"/>
      <w:bookmarkEnd w:id="252"/>
    </w:p>
    <w:p>
      <w:pPr>
        <w:pStyle w:val="52"/>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投标响应偏差表（按产品列明）</w:t>
      </w:r>
    </w:p>
    <w:p>
      <w:pPr>
        <w:pStyle w:val="65"/>
        <w:ind w:firstLine="560"/>
        <w:rPr>
          <w:rFonts w:hint="eastAsia" w:ascii="方正仿宋_GBK" w:hAnsi="方正仿宋_GBK" w:eastAsia="方正仿宋_GBK" w:cs="方正仿宋_GBK"/>
          <w:color w:val="auto"/>
          <w:sz w:val="24"/>
          <w:szCs w:val="20"/>
        </w:rPr>
      </w:pPr>
      <w:r>
        <w:rPr>
          <w:rFonts w:hint="eastAsia" w:ascii="方正仿宋_GBK" w:hAnsi="方正仿宋_GBK" w:eastAsia="方正仿宋_GBK" w:cs="方正仿宋_GBK"/>
          <w:color w:val="auto"/>
          <w:sz w:val="28"/>
          <w:szCs w:val="28"/>
        </w:rPr>
        <w:t>投标产品品牌型号</w:t>
      </w:r>
      <w:r>
        <w:rPr>
          <w:rFonts w:hint="eastAsia" w:ascii="方正仿宋_GBK" w:hAnsi="方正仿宋_GBK" w:eastAsia="方正仿宋_GBK" w:cs="方正仿宋_GBK"/>
          <w:color w:val="auto"/>
        </w:rPr>
        <w:t xml:space="preserve">：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682"/>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noWrap w:val="0"/>
            <w:vAlign w:val="center"/>
          </w:tcPr>
          <w:p>
            <w:pPr>
              <w:pStyle w:val="52"/>
              <w:widowControl/>
              <w:adjustRightInd w:val="0"/>
              <w:snapToGrid w:val="0"/>
              <w:spacing w:before="100" w:beforeAutospacing="1" w:line="56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招标文件内容</w:t>
            </w:r>
          </w:p>
        </w:tc>
        <w:tc>
          <w:tcPr>
            <w:tcW w:w="2682" w:type="dxa"/>
            <w:tcBorders>
              <w:top w:val="single" w:color="auto" w:sz="4" w:space="0"/>
              <w:left w:val="single" w:color="auto" w:sz="4" w:space="0"/>
              <w:bottom w:val="single" w:color="auto" w:sz="4" w:space="0"/>
              <w:right w:val="single" w:color="auto" w:sz="4" w:space="0"/>
            </w:tcBorders>
            <w:noWrap w:val="0"/>
            <w:vAlign w:val="center"/>
          </w:tcPr>
          <w:p>
            <w:pPr>
              <w:pStyle w:val="52"/>
              <w:widowControl/>
              <w:adjustRightInd w:val="0"/>
              <w:snapToGrid w:val="0"/>
              <w:spacing w:before="100" w:beforeAutospacing="1" w:line="56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投标文件内容</w:t>
            </w:r>
          </w:p>
        </w:tc>
        <w:tc>
          <w:tcPr>
            <w:tcW w:w="2682" w:type="dxa"/>
            <w:tcBorders>
              <w:top w:val="single" w:color="auto" w:sz="4" w:space="0"/>
              <w:left w:val="single" w:color="auto" w:sz="4" w:space="0"/>
              <w:bottom w:val="single" w:color="auto" w:sz="4" w:space="0"/>
              <w:right w:val="single" w:color="auto" w:sz="4" w:space="0"/>
            </w:tcBorders>
            <w:noWrap w:val="0"/>
            <w:vAlign w:val="center"/>
          </w:tcPr>
          <w:p>
            <w:pPr>
              <w:pStyle w:val="52"/>
              <w:widowControl/>
              <w:adjustRightInd w:val="0"/>
              <w:snapToGrid w:val="0"/>
              <w:spacing w:before="100" w:beforeAutospacing="1" w:line="56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偏差内容及说明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pPr>
              <w:pStyle w:val="52"/>
              <w:spacing w:line="560" w:lineRule="exact"/>
              <w:jc w:val="center"/>
              <w:rPr>
                <w:rFonts w:hint="eastAsia" w:ascii="方正仿宋_GBK" w:hAnsi="方正仿宋_GBK" w:eastAsia="方正仿宋_GBK" w:cs="方正仿宋_GBK"/>
                <w:color w:val="auto"/>
                <w:sz w:val="24"/>
                <w:szCs w:val="22"/>
              </w:rPr>
            </w:pPr>
          </w:p>
        </w:tc>
      </w:tr>
    </w:tbl>
    <w:p>
      <w:pPr>
        <w:pStyle w:val="52"/>
        <w:spacing w:line="560" w:lineRule="exact"/>
        <w:rPr>
          <w:rFonts w:hint="eastAsia" w:ascii="方正仿宋_GBK" w:hAnsi="方正仿宋_GBK" w:eastAsia="方正仿宋_GBK" w:cs="方正仿宋_GBK"/>
          <w:color w:val="auto"/>
          <w:sz w:val="28"/>
          <w:szCs w:val="28"/>
          <w:u w:val="single"/>
        </w:rPr>
      </w:pPr>
      <w:r>
        <w:rPr>
          <w:rFonts w:hint="eastAsia" w:ascii="方正仿宋_GBK" w:hAnsi="方正仿宋_GBK" w:eastAsia="方正仿宋_GBK" w:cs="方正仿宋_GBK"/>
          <w:color w:val="auto"/>
          <w:sz w:val="24"/>
        </w:rPr>
        <w:t>单位公章（签章）：</w:t>
      </w:r>
      <w:r>
        <w:rPr>
          <w:rFonts w:hint="eastAsia" w:ascii="方正仿宋_GBK" w:hAnsi="方正仿宋_GBK" w:eastAsia="方正仿宋_GBK" w:cs="方正仿宋_GBK"/>
          <w:color w:val="auto"/>
          <w:sz w:val="24"/>
          <w:u w:val="single"/>
        </w:rPr>
        <w:t xml:space="preserve">              </w:t>
      </w:r>
      <w:r>
        <w:rPr>
          <w:rFonts w:hint="eastAsia" w:ascii="方正仿宋_GBK" w:hAnsi="方正仿宋_GBK" w:eastAsia="方正仿宋_GBK" w:cs="方正仿宋_GBK"/>
          <w:color w:val="auto"/>
          <w:sz w:val="24"/>
        </w:rPr>
        <w:t xml:space="preserve">  法定代表人（签章）：</w:t>
      </w:r>
      <w:r>
        <w:rPr>
          <w:rFonts w:hint="eastAsia" w:ascii="方正仿宋_GBK" w:hAnsi="方正仿宋_GBK" w:eastAsia="方正仿宋_GBK" w:cs="方正仿宋_GBK"/>
          <w:color w:val="auto"/>
          <w:sz w:val="24"/>
          <w:u w:val="single"/>
        </w:rPr>
        <w:t xml:space="preserve">    </w:t>
      </w:r>
      <w:r>
        <w:rPr>
          <w:rFonts w:hint="eastAsia" w:ascii="方正仿宋_GBK" w:hAnsi="方正仿宋_GBK" w:eastAsia="方正仿宋_GBK" w:cs="方正仿宋_GBK"/>
          <w:color w:val="auto"/>
          <w:sz w:val="28"/>
          <w:szCs w:val="28"/>
          <w:u w:val="single"/>
        </w:rPr>
        <w:t xml:space="preserve">         </w:t>
      </w:r>
    </w:p>
    <w:p>
      <w:pPr>
        <w:pStyle w:val="53"/>
        <w:ind w:firstLine="482"/>
        <w:rPr>
          <w:rFonts w:ascii="Times New Roman" w:hAnsi="Times New Roman"/>
          <w:b/>
          <w:bCs/>
          <w:color w:val="auto"/>
          <w:sz w:val="24"/>
          <w:szCs w:val="28"/>
        </w:rPr>
      </w:pPr>
    </w:p>
    <w:p>
      <w:pPr>
        <w:pStyle w:val="53"/>
        <w:rPr>
          <w:rFonts w:ascii="Times New Roman" w:hAnsi="Times New Roman"/>
          <w:b/>
          <w:bCs/>
          <w:color w:val="auto"/>
          <w:sz w:val="24"/>
          <w:szCs w:val="28"/>
        </w:rPr>
      </w:pPr>
      <w:r>
        <w:rPr>
          <w:rFonts w:ascii="Times New Roman" w:hAnsi="Times New Roman"/>
          <w:b/>
          <w:bCs/>
          <w:color w:val="auto"/>
          <w:sz w:val="24"/>
          <w:szCs w:val="28"/>
        </w:rPr>
        <w:t>1、凡投标文件中所投货物数量、规格型号、技术参数及质量标准与招标文件有偏差的（包括正偏差，用+号表示和负偏差，用-号表示），均应在此表中详细列出并说明理由（内容较多的可以标注见投标文件第几页），未在此表中列出的视同完全满足招标文件要求。</w:t>
      </w:r>
    </w:p>
    <w:p>
      <w:pPr>
        <w:pStyle w:val="52"/>
        <w:adjustRightInd w:val="0"/>
        <w:snapToGrid w:val="0"/>
        <w:spacing w:line="360" w:lineRule="auto"/>
        <w:rPr>
          <w:b/>
          <w:bCs/>
          <w:color w:val="auto"/>
          <w:sz w:val="24"/>
          <w:szCs w:val="28"/>
        </w:rPr>
      </w:pPr>
      <w:r>
        <w:rPr>
          <w:b/>
          <w:bCs/>
          <w:color w:val="auto"/>
          <w:sz w:val="24"/>
          <w:szCs w:val="28"/>
        </w:rPr>
        <w:t>2、投标人所投产品如与招标文件要求的规格及配置不一致，则须在上表偏离说明中详细注明。</w:t>
      </w:r>
    </w:p>
    <w:p>
      <w:pPr>
        <w:pStyle w:val="52"/>
        <w:rPr>
          <w:b/>
          <w:bCs/>
          <w:color w:val="auto"/>
          <w:sz w:val="24"/>
          <w:szCs w:val="28"/>
        </w:rPr>
      </w:pPr>
      <w:r>
        <w:rPr>
          <w:b/>
          <w:bCs/>
          <w:color w:val="auto"/>
          <w:sz w:val="24"/>
          <w:szCs w:val="28"/>
        </w:rPr>
        <w:t>3、响应部分可后附详细说明及技术资料，并注明投标文件中对应的页码范围。</w:t>
      </w:r>
    </w:p>
    <w:p>
      <w:pPr>
        <w:pStyle w:val="52"/>
        <w:adjustRightInd w:val="0"/>
        <w:snapToGrid w:val="0"/>
        <w:spacing w:line="360" w:lineRule="auto"/>
        <w:rPr>
          <w:b/>
          <w:bCs/>
          <w:color w:val="auto"/>
          <w:sz w:val="24"/>
          <w:szCs w:val="28"/>
        </w:rPr>
      </w:pPr>
      <w:r>
        <w:rPr>
          <w:rFonts w:hint="eastAsia"/>
          <w:b/>
          <w:bCs/>
          <w:color w:val="auto"/>
          <w:sz w:val="24"/>
          <w:szCs w:val="28"/>
        </w:rPr>
        <w:t>4、投标人保证：除商务和技术偏差表列出的偏差外，投标人响应招标文件的全部要求。</w:t>
      </w:r>
    </w:p>
    <w:p>
      <w:pPr>
        <w:pStyle w:val="49"/>
        <w:outlineLvl w:val="0"/>
        <w:rPr>
          <w:rFonts w:ascii="Times New Roman" w:hAnsi="Times New Roman"/>
          <w:color w:val="auto"/>
        </w:rPr>
      </w:pPr>
      <w:r>
        <w:rPr>
          <w:rFonts w:ascii="Times New Roman" w:hAnsi="Times New Roman"/>
          <w:color w:val="auto"/>
        </w:rPr>
        <w:br w:type="page"/>
      </w:r>
      <w:bookmarkStart w:id="253" w:name="_Toc47023151"/>
      <w:bookmarkStart w:id="254" w:name="_Toc43369517"/>
      <w:r>
        <w:rPr>
          <w:rFonts w:hint="eastAsia" w:ascii="Times New Roman" w:hAnsi="Times New Roman"/>
          <w:color w:val="auto"/>
        </w:rPr>
        <w:t>十</w:t>
      </w:r>
      <w:r>
        <w:rPr>
          <w:rFonts w:hint="eastAsia" w:ascii="Times New Roman" w:hAnsi="Times New Roman"/>
          <w:color w:val="auto"/>
          <w:lang w:val="en-US" w:eastAsia="zh-CN"/>
        </w:rPr>
        <w:t>一</w:t>
      </w:r>
      <w:r>
        <w:rPr>
          <w:rFonts w:ascii="Times New Roman" w:hAnsi="Times New Roman"/>
          <w:color w:val="auto"/>
        </w:rPr>
        <w:t>、质量保证及售后服务方案</w:t>
      </w:r>
      <w:bookmarkEnd w:id="253"/>
      <w:bookmarkEnd w:id="254"/>
    </w:p>
    <w:p>
      <w:pPr>
        <w:pStyle w:val="47"/>
        <w:spacing w:line="600" w:lineRule="exact"/>
        <w:jc w:val="center"/>
        <w:outlineLvl w:val="0"/>
        <w:rPr>
          <w:b/>
          <w:bCs/>
          <w:color w:val="auto"/>
          <w:sz w:val="32"/>
          <w:szCs w:val="32"/>
        </w:rPr>
      </w:pPr>
      <w:r>
        <w:rPr>
          <w:b/>
          <w:bCs/>
          <w:color w:val="auto"/>
          <w:sz w:val="32"/>
          <w:szCs w:val="32"/>
        </w:rPr>
        <w:t>质量保证及售后服务方案</w:t>
      </w:r>
    </w:p>
    <w:p>
      <w:pPr>
        <w:pStyle w:val="47"/>
        <w:spacing w:line="500" w:lineRule="exact"/>
        <w:ind w:firstLine="480" w:firstLineChars="200"/>
        <w:rPr>
          <w:rFonts w:eastAsia="仿宋_GB2312"/>
          <w:color w:val="0000FF"/>
          <w:sz w:val="24"/>
          <w:highlight w:val="white"/>
        </w:rPr>
      </w:pPr>
      <w:r>
        <w:rPr>
          <w:rFonts w:eastAsia="仿宋_GB2312"/>
          <w:color w:val="0000FF"/>
          <w:sz w:val="24"/>
        </w:rPr>
        <w:t>根据评标办法、售后服务、培训服务得分要点自行编制其内容供评委打分，格式自拟；</w:t>
      </w:r>
    </w:p>
    <w:p>
      <w:pPr>
        <w:pStyle w:val="47"/>
        <w:spacing w:line="500" w:lineRule="exact"/>
        <w:ind w:firstLine="480" w:firstLineChars="200"/>
        <w:rPr>
          <w:rFonts w:eastAsia="仿宋_GB2312"/>
          <w:color w:val="0000FF"/>
          <w:sz w:val="24"/>
          <w:highlight w:val="white"/>
        </w:rPr>
      </w:pPr>
    </w:p>
    <w:p>
      <w:pPr>
        <w:pStyle w:val="47"/>
        <w:spacing w:line="600" w:lineRule="exact"/>
        <w:jc w:val="center"/>
        <w:rPr>
          <w:b/>
          <w:bCs/>
          <w:color w:val="auto"/>
          <w:sz w:val="32"/>
          <w:szCs w:val="32"/>
        </w:rPr>
      </w:pPr>
    </w:p>
    <w:p>
      <w:pPr>
        <w:pStyle w:val="47"/>
        <w:spacing w:line="600" w:lineRule="exact"/>
        <w:jc w:val="center"/>
        <w:outlineLvl w:val="0"/>
        <w:rPr>
          <w:b/>
          <w:bCs/>
          <w:color w:val="auto"/>
          <w:sz w:val="32"/>
          <w:szCs w:val="32"/>
        </w:rPr>
      </w:pPr>
      <w:r>
        <w:rPr>
          <w:b/>
          <w:bCs/>
          <w:color w:val="auto"/>
          <w:sz w:val="32"/>
          <w:szCs w:val="32"/>
        </w:rPr>
        <w:t>格式自拟</w:t>
      </w:r>
    </w:p>
    <w:p>
      <w:pPr>
        <w:pStyle w:val="47"/>
        <w:spacing w:line="600" w:lineRule="exact"/>
        <w:jc w:val="center"/>
        <w:rPr>
          <w:b/>
          <w:bCs/>
          <w:color w:val="auto"/>
          <w:sz w:val="32"/>
          <w:szCs w:val="32"/>
        </w:rPr>
      </w:pPr>
    </w:p>
    <w:p>
      <w:pPr>
        <w:pStyle w:val="47"/>
        <w:spacing w:line="600" w:lineRule="exact"/>
        <w:jc w:val="center"/>
        <w:rPr>
          <w:b/>
          <w:bCs/>
          <w:color w:val="auto"/>
          <w:sz w:val="32"/>
          <w:szCs w:val="32"/>
        </w:rPr>
      </w:pPr>
    </w:p>
    <w:p>
      <w:pPr>
        <w:pStyle w:val="79"/>
        <w:outlineLvl w:val="0"/>
        <w:rPr>
          <w:rFonts w:ascii="Times New Roman" w:hAnsi="Times New Roman"/>
          <w:color w:val="auto"/>
        </w:rPr>
      </w:pPr>
      <w:r>
        <w:rPr>
          <w:rFonts w:ascii="Times New Roman" w:hAnsi="Times New Roman"/>
          <w:color w:val="auto"/>
        </w:rPr>
        <w:br w:type="page"/>
      </w:r>
      <w:bookmarkStart w:id="255" w:name="_Toc43369518"/>
      <w:bookmarkStart w:id="256" w:name="_Toc47023152"/>
      <w:r>
        <w:rPr>
          <w:rFonts w:hint="eastAsia" w:ascii="Times New Roman" w:hAnsi="Times New Roman"/>
          <w:color w:val="auto"/>
        </w:rPr>
        <w:t>十</w:t>
      </w:r>
      <w:r>
        <w:rPr>
          <w:rFonts w:hint="eastAsia" w:ascii="Times New Roman" w:hAnsi="Times New Roman"/>
          <w:color w:val="auto"/>
          <w:lang w:val="en-US" w:eastAsia="zh-CN"/>
        </w:rPr>
        <w:t>二</w:t>
      </w:r>
      <w:r>
        <w:rPr>
          <w:rFonts w:hint="eastAsia" w:ascii="Times New Roman" w:hAnsi="Times New Roman"/>
          <w:color w:val="auto"/>
        </w:rPr>
        <w:t>、</w:t>
      </w:r>
      <w:r>
        <w:rPr>
          <w:rFonts w:ascii="Times New Roman" w:hAnsi="Times New Roman"/>
          <w:color w:val="auto"/>
        </w:rPr>
        <w:t>其</w:t>
      </w:r>
      <w:r>
        <w:rPr>
          <w:rFonts w:hint="eastAsia" w:ascii="Times New Roman" w:hAnsi="Times New Roman"/>
          <w:color w:val="auto"/>
          <w:lang w:eastAsia="zh-CN"/>
        </w:rPr>
        <w:t>它</w:t>
      </w:r>
      <w:r>
        <w:rPr>
          <w:rFonts w:ascii="Times New Roman" w:hAnsi="Times New Roman"/>
          <w:color w:val="auto"/>
        </w:rPr>
        <w:t>材料</w:t>
      </w:r>
      <w:bookmarkEnd w:id="255"/>
      <w:bookmarkStart w:id="257" w:name="_Toc43369519"/>
      <w:r>
        <w:rPr>
          <w:rFonts w:ascii="Times New Roman" w:hAnsi="Times New Roman"/>
          <w:color w:val="auto"/>
        </w:rPr>
        <w:t>投标所需的其他资料</w:t>
      </w:r>
      <w:bookmarkEnd w:id="256"/>
      <w:bookmarkEnd w:id="257"/>
    </w:p>
    <w:p>
      <w:pPr>
        <w:pStyle w:val="79"/>
        <w:rPr>
          <w:rFonts w:hint="eastAsia" w:ascii="Times New Roman" w:hAnsi="Times New Roman"/>
          <w:color w:val="auto"/>
        </w:rPr>
      </w:pPr>
    </w:p>
    <w:p>
      <w:pPr>
        <w:pStyle w:val="8"/>
        <w:snapToGrid w:val="0"/>
        <w:spacing w:before="0" w:after="0" w:line="360" w:lineRule="auto"/>
        <w:jc w:val="center"/>
        <w:rPr>
          <w:rFonts w:hint="eastAsia" w:cs="宋体"/>
          <w:color w:val="auto"/>
        </w:rPr>
      </w:pPr>
      <w:bookmarkStart w:id="258" w:name="_Toc506205363"/>
      <w:bookmarkStart w:id="259" w:name="_Toc17488"/>
      <w:bookmarkStart w:id="260" w:name="_Toc7150"/>
      <w:bookmarkStart w:id="261" w:name="_Toc503983091"/>
      <w:r>
        <w:rPr>
          <w:rFonts w:hint="eastAsia" w:cs="宋体"/>
          <w:color w:val="auto"/>
        </w:rPr>
        <w:t>（一）承诺书</w:t>
      </w:r>
      <w:bookmarkEnd w:id="258"/>
      <w:bookmarkEnd w:id="259"/>
      <w:bookmarkEnd w:id="260"/>
      <w:bookmarkEnd w:id="261"/>
    </w:p>
    <w:p>
      <w:pPr>
        <w:snapToGrid w:val="0"/>
        <w:spacing w:line="360" w:lineRule="auto"/>
        <w:ind w:firstLine="0" w:firstLineChars="0"/>
        <w:rPr>
          <w:rFonts w:hint="eastAsia" w:ascii="宋体" w:hAnsi="宋体" w:cs="宋体"/>
          <w:color w:val="auto"/>
          <w:kern w:val="0"/>
        </w:rPr>
      </w:pPr>
      <w:r>
        <w:rPr>
          <w:rFonts w:hint="eastAsia" w:ascii="宋体" w:hAnsi="宋体" w:cs="宋体"/>
          <w:color w:val="auto"/>
          <w:kern w:val="0"/>
          <w:u w:val="single"/>
        </w:rPr>
        <w:t xml:space="preserve">        </w:t>
      </w:r>
      <w:r>
        <w:rPr>
          <w:rFonts w:hint="eastAsia" w:ascii="宋体" w:hAnsi="宋体" w:cs="宋体"/>
          <w:color w:val="auto"/>
          <w:kern w:val="0"/>
        </w:rPr>
        <w:t>（招标人名称）：</w:t>
      </w:r>
    </w:p>
    <w:p>
      <w:pPr>
        <w:snapToGrid w:val="0"/>
        <w:spacing w:line="360" w:lineRule="auto"/>
        <w:rPr>
          <w:rFonts w:hint="eastAsia" w:ascii="宋体" w:hAnsi="宋体" w:cs="宋体"/>
          <w:color w:val="auto"/>
          <w:kern w:val="0"/>
        </w:rPr>
      </w:pPr>
      <w:r>
        <w:rPr>
          <w:rFonts w:hint="eastAsia" w:ascii="宋体" w:hAnsi="宋体" w:cs="宋体"/>
          <w:color w:val="auto"/>
          <w:kern w:val="0"/>
        </w:rPr>
        <w:t>我方将参加</w:t>
      </w:r>
      <w:r>
        <w:rPr>
          <w:rFonts w:hint="eastAsia" w:ascii="宋体" w:hAnsi="宋体" w:cs="宋体"/>
          <w:color w:val="auto"/>
          <w:kern w:val="0"/>
          <w:u w:val="single"/>
        </w:rPr>
        <w:t xml:space="preserve">       </w:t>
      </w:r>
      <w:r>
        <w:rPr>
          <w:rFonts w:hint="eastAsia" w:ascii="宋体" w:hAnsi="宋体" w:cs="宋体"/>
          <w:color w:val="auto"/>
          <w:kern w:val="0"/>
        </w:rPr>
        <w:t>（项目名称）</w:t>
      </w:r>
      <w:r>
        <w:rPr>
          <w:rFonts w:hint="eastAsia" w:ascii="宋体" w:hAnsi="宋体" w:cs="宋体"/>
          <w:color w:val="auto"/>
          <w:kern w:val="0"/>
          <w:u w:val="single"/>
        </w:rPr>
        <w:t xml:space="preserve">       </w:t>
      </w:r>
      <w:r>
        <w:rPr>
          <w:rFonts w:hint="eastAsia" w:ascii="宋体" w:hAnsi="宋体" w:cs="宋体"/>
          <w:color w:val="auto"/>
          <w:kern w:val="0"/>
        </w:rPr>
        <w:t>（招标编号）的投标，现承诺如下：</w:t>
      </w:r>
    </w:p>
    <w:p>
      <w:pPr>
        <w:snapToGrid w:val="0"/>
        <w:spacing w:line="360" w:lineRule="auto"/>
        <w:rPr>
          <w:rFonts w:hint="eastAsia" w:ascii="宋体" w:hAnsi="宋体" w:cs="宋体"/>
          <w:color w:val="auto"/>
          <w:kern w:val="0"/>
        </w:rPr>
      </w:pPr>
      <w:bookmarkStart w:id="262" w:name="_Toc503961423"/>
      <w:r>
        <w:rPr>
          <w:rFonts w:hint="eastAsia" w:ascii="宋体" w:hAnsi="宋体" w:cs="宋体"/>
          <w:color w:val="auto"/>
          <w:kern w:val="0"/>
        </w:rPr>
        <w:t>我方不存在以下情形：</w:t>
      </w:r>
    </w:p>
    <w:p>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1.有违反法律、法规行为，依法被取消投标资格且期限未满的；</w:t>
      </w:r>
    </w:p>
    <w:p>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2.招投标活动中有违法违规和不良行为，被有关招投标行政监督部门公示且期限未满的；</w:t>
      </w:r>
    </w:p>
    <w:p>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3.2018年1月1日以来存在出让或者出租资格、资质证书供他人投标的，使用通过受让或者租借等方式获取的资格、资质证书投标的行为的。</w:t>
      </w:r>
    </w:p>
    <w:p>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4.联合体投标。</w:t>
      </w:r>
    </w:p>
    <w:p>
      <w:pPr>
        <w:snapToGrid w:val="0"/>
        <w:spacing w:line="360" w:lineRule="auto"/>
        <w:rPr>
          <w:rFonts w:hint="eastAsia" w:ascii="宋体" w:hAnsi="宋体" w:cs="宋体"/>
          <w:color w:val="auto"/>
          <w:kern w:val="0"/>
        </w:rPr>
      </w:pPr>
    </w:p>
    <w:bookmarkEnd w:id="262"/>
    <w:p>
      <w:pPr>
        <w:snapToGrid w:val="0"/>
        <w:spacing w:line="360" w:lineRule="auto"/>
        <w:jc w:val="right"/>
        <w:rPr>
          <w:rFonts w:hint="eastAsia" w:ascii="宋体" w:hAnsi="宋体" w:cs="宋体"/>
          <w:color w:val="auto"/>
          <w:kern w:val="0"/>
        </w:rPr>
      </w:pPr>
      <w:r>
        <w:rPr>
          <w:rFonts w:hint="eastAsia" w:ascii="宋体" w:hAnsi="宋体" w:cs="宋体"/>
          <w:color w:val="auto"/>
          <w:kern w:val="0"/>
        </w:rPr>
        <w:t>投标人（单位公章）：</w:t>
      </w:r>
      <w:r>
        <w:rPr>
          <w:rFonts w:hint="eastAsia" w:ascii="宋体" w:hAnsi="宋体" w:cs="宋体"/>
          <w:color w:val="auto"/>
          <w:kern w:val="0"/>
          <w:u w:val="single"/>
        </w:rPr>
        <w:t xml:space="preserve">       </w:t>
      </w:r>
    </w:p>
    <w:p>
      <w:pPr>
        <w:snapToGrid w:val="0"/>
        <w:spacing w:line="360" w:lineRule="auto"/>
        <w:jc w:val="right"/>
        <w:rPr>
          <w:rFonts w:hint="eastAsia" w:ascii="宋体" w:hAnsi="宋体" w:cs="宋体"/>
          <w:color w:val="auto"/>
          <w:kern w:val="0"/>
        </w:rPr>
      </w:pPr>
      <w:r>
        <w:rPr>
          <w:rFonts w:hint="eastAsia" w:ascii="宋体" w:hAnsi="宋体" w:cs="宋体"/>
          <w:color w:val="auto"/>
          <w:kern w:val="0"/>
        </w:rPr>
        <w:t>法定代表人（签字）：</w:t>
      </w:r>
      <w:r>
        <w:rPr>
          <w:rFonts w:hint="eastAsia" w:ascii="宋体" w:hAnsi="宋体" w:cs="宋体"/>
          <w:color w:val="auto"/>
          <w:kern w:val="0"/>
          <w:u w:val="single"/>
        </w:rPr>
        <w:t xml:space="preserve">       </w:t>
      </w:r>
    </w:p>
    <w:p>
      <w:pPr>
        <w:snapToGrid w:val="0"/>
        <w:spacing w:line="360" w:lineRule="auto"/>
        <w:jc w:val="right"/>
        <w:rPr>
          <w:rFonts w:hint="eastAsia" w:ascii="宋体" w:hAnsi="宋体" w:cs="宋体"/>
          <w:color w:val="auto"/>
          <w:kern w:val="0"/>
        </w:rPr>
      </w:pPr>
      <w:r>
        <w:rPr>
          <w:rFonts w:hint="eastAsia" w:ascii="宋体" w:hAnsi="宋体" w:cs="宋体"/>
          <w:color w:val="auto"/>
          <w:kern w:val="0"/>
        </w:rPr>
        <w:t>日期：年  月  日</w:t>
      </w:r>
    </w:p>
    <w:p>
      <w:pPr>
        <w:snapToGrid w:val="0"/>
        <w:spacing w:line="360" w:lineRule="auto"/>
        <w:rPr>
          <w:rFonts w:hint="eastAsia" w:ascii="宋体" w:hAnsi="宋体" w:cs="宋体"/>
          <w:color w:val="auto"/>
          <w:kern w:val="0"/>
        </w:rPr>
      </w:pPr>
    </w:p>
    <w:p>
      <w:pPr>
        <w:pStyle w:val="40"/>
        <w:snapToGrid w:val="0"/>
        <w:spacing w:line="360" w:lineRule="auto"/>
        <w:rPr>
          <w:rFonts w:hint="eastAsia" w:hAnsi="宋体" w:cs="宋体"/>
          <w:color w:val="auto"/>
          <w:lang w:eastAsia="zh-CN"/>
        </w:rPr>
      </w:pPr>
    </w:p>
    <w:p>
      <w:pPr>
        <w:pStyle w:val="40"/>
        <w:snapToGrid w:val="0"/>
        <w:spacing w:line="360" w:lineRule="auto"/>
        <w:rPr>
          <w:rFonts w:hint="eastAsia" w:hAnsi="宋体" w:cs="宋体"/>
          <w:color w:val="auto"/>
          <w:lang w:eastAsia="zh-CN"/>
        </w:rPr>
      </w:pPr>
    </w:p>
    <w:p>
      <w:pPr>
        <w:pStyle w:val="40"/>
        <w:snapToGrid w:val="0"/>
        <w:spacing w:line="360" w:lineRule="auto"/>
        <w:rPr>
          <w:rFonts w:hint="eastAsia" w:hAnsi="宋体" w:cs="宋体"/>
          <w:color w:val="auto"/>
          <w:lang w:eastAsia="zh-CN"/>
        </w:rPr>
      </w:pPr>
    </w:p>
    <w:p>
      <w:pPr>
        <w:pStyle w:val="40"/>
        <w:snapToGrid w:val="0"/>
        <w:spacing w:line="360" w:lineRule="auto"/>
        <w:rPr>
          <w:rFonts w:hint="eastAsia" w:hAnsi="宋体" w:cs="宋体"/>
          <w:color w:val="auto"/>
          <w:lang w:eastAsia="zh-CN"/>
        </w:rPr>
      </w:pPr>
    </w:p>
    <w:p>
      <w:pPr>
        <w:pStyle w:val="40"/>
        <w:snapToGrid w:val="0"/>
        <w:spacing w:line="360" w:lineRule="auto"/>
        <w:rPr>
          <w:rFonts w:hint="eastAsia" w:hAnsi="宋体" w:cs="宋体"/>
          <w:color w:val="auto"/>
          <w:lang w:eastAsia="zh-CN"/>
        </w:rPr>
      </w:pPr>
    </w:p>
    <w:p>
      <w:pPr>
        <w:pStyle w:val="40"/>
        <w:snapToGrid w:val="0"/>
        <w:spacing w:line="360" w:lineRule="auto"/>
        <w:rPr>
          <w:rFonts w:hint="eastAsia" w:hAnsi="宋体" w:cs="宋体"/>
          <w:color w:val="auto"/>
          <w:lang w:eastAsia="zh-CN"/>
        </w:rPr>
      </w:pPr>
    </w:p>
    <w:p>
      <w:pPr>
        <w:pStyle w:val="40"/>
        <w:snapToGrid w:val="0"/>
        <w:spacing w:line="360" w:lineRule="auto"/>
        <w:rPr>
          <w:rFonts w:hint="eastAsia" w:hAnsi="宋体" w:cs="宋体"/>
          <w:color w:val="auto"/>
          <w:lang w:eastAsia="zh-CN"/>
        </w:rPr>
      </w:pPr>
    </w:p>
    <w:p>
      <w:pPr>
        <w:pStyle w:val="40"/>
        <w:snapToGrid w:val="0"/>
        <w:spacing w:line="360" w:lineRule="auto"/>
        <w:rPr>
          <w:rFonts w:hint="eastAsia" w:hAnsi="宋体" w:cs="宋体"/>
          <w:color w:val="auto"/>
          <w:lang w:eastAsia="zh-CN"/>
        </w:rPr>
      </w:pPr>
    </w:p>
    <w:p>
      <w:pPr>
        <w:pStyle w:val="40"/>
        <w:snapToGrid w:val="0"/>
        <w:spacing w:line="360" w:lineRule="auto"/>
        <w:rPr>
          <w:rFonts w:hint="eastAsia" w:hAnsi="宋体" w:cs="宋体"/>
          <w:color w:val="auto"/>
          <w:lang w:eastAsia="zh-CN"/>
        </w:rPr>
      </w:pPr>
    </w:p>
    <w:p>
      <w:pPr>
        <w:snapToGrid w:val="0"/>
        <w:spacing w:line="360" w:lineRule="auto"/>
        <w:rPr>
          <w:rFonts w:hint="eastAsia" w:ascii="宋体" w:hAnsi="宋体" w:cs="宋体"/>
          <w:color w:val="auto"/>
          <w:kern w:val="0"/>
        </w:rPr>
      </w:pPr>
    </w:p>
    <w:p>
      <w:pPr>
        <w:pStyle w:val="8"/>
        <w:snapToGrid w:val="0"/>
        <w:spacing w:before="0" w:after="0" w:line="360" w:lineRule="auto"/>
        <w:rPr>
          <w:rFonts w:hint="eastAsia" w:cs="宋体"/>
          <w:color w:val="auto"/>
        </w:rPr>
      </w:pPr>
      <w:bookmarkStart w:id="263" w:name="_Toc506205364"/>
      <w:bookmarkStart w:id="264" w:name="_Toc503983092"/>
      <w:bookmarkStart w:id="265" w:name="_Toc503961425"/>
      <w:bookmarkStart w:id="266" w:name="_Toc28203"/>
      <w:bookmarkStart w:id="267" w:name="_Toc29069"/>
      <w:r>
        <w:rPr>
          <w:rFonts w:hint="eastAsia" w:cs="宋体"/>
          <w:color w:val="auto"/>
        </w:rPr>
        <w:br w:type="column"/>
      </w:r>
      <w:r>
        <w:rPr>
          <w:rFonts w:hint="eastAsia" w:cs="宋体"/>
          <w:color w:val="auto"/>
        </w:rPr>
        <w:t>（二）开户许可证</w:t>
      </w:r>
      <w:bookmarkEnd w:id="263"/>
      <w:bookmarkEnd w:id="264"/>
      <w:bookmarkEnd w:id="265"/>
      <w:r>
        <w:rPr>
          <w:rFonts w:hint="eastAsia" w:cs="宋体"/>
          <w:color w:val="auto"/>
        </w:rPr>
        <w:t>（基本账户）</w:t>
      </w:r>
      <w:bookmarkEnd w:id="266"/>
      <w:bookmarkEnd w:id="267"/>
    </w:p>
    <w:p>
      <w:pPr>
        <w:snapToGrid w:val="0"/>
        <w:spacing w:line="360" w:lineRule="auto"/>
        <w:rPr>
          <w:rFonts w:hint="eastAsia" w:ascii="宋体" w:hAnsi="宋体" w:cs="宋体"/>
          <w:color w:val="auto"/>
          <w:kern w:val="0"/>
        </w:rPr>
      </w:pPr>
    </w:p>
    <w:p>
      <w:pPr>
        <w:snapToGrid w:val="0"/>
        <w:spacing w:line="360" w:lineRule="auto"/>
        <w:rPr>
          <w:rFonts w:hint="eastAsia" w:ascii="宋体" w:hAnsi="宋体" w:cs="宋体"/>
          <w:color w:val="auto"/>
          <w:kern w:val="0"/>
        </w:rPr>
      </w:pPr>
    </w:p>
    <w:p>
      <w:pPr>
        <w:snapToGrid w:val="0"/>
        <w:spacing w:line="360" w:lineRule="auto"/>
        <w:rPr>
          <w:rFonts w:hint="eastAsia" w:ascii="宋体" w:hAnsi="宋体" w:cs="宋体"/>
          <w:color w:val="auto"/>
          <w:kern w:val="0"/>
        </w:rPr>
      </w:pPr>
    </w:p>
    <w:p>
      <w:pPr>
        <w:snapToGrid w:val="0"/>
        <w:spacing w:line="360" w:lineRule="auto"/>
        <w:rPr>
          <w:rFonts w:hint="eastAsia" w:ascii="宋体" w:hAnsi="宋体" w:cs="宋体"/>
          <w:color w:val="auto"/>
          <w:kern w:val="0"/>
        </w:rPr>
      </w:pPr>
    </w:p>
    <w:p>
      <w:pPr>
        <w:snapToGrid w:val="0"/>
        <w:spacing w:line="360" w:lineRule="auto"/>
        <w:ind w:firstLine="0" w:firstLineChars="0"/>
        <w:rPr>
          <w:rFonts w:hint="eastAsia" w:ascii="宋体" w:hAnsi="宋体" w:cs="宋体"/>
          <w:color w:val="auto"/>
          <w:kern w:val="0"/>
        </w:rPr>
      </w:pPr>
      <w:bookmarkStart w:id="268" w:name="_Toc503961426"/>
      <w:bookmarkStart w:id="269" w:name="_Toc506205365"/>
      <w:bookmarkStart w:id="270" w:name="_Toc25512"/>
      <w:bookmarkStart w:id="271" w:name="_Toc503983093"/>
    </w:p>
    <w:bookmarkEnd w:id="268"/>
    <w:bookmarkEnd w:id="269"/>
    <w:bookmarkEnd w:id="270"/>
    <w:bookmarkEnd w:id="271"/>
    <w:p>
      <w:pPr>
        <w:snapToGrid w:val="0"/>
        <w:spacing w:line="360" w:lineRule="auto"/>
        <w:rPr>
          <w:rFonts w:hint="eastAsia" w:cs="宋体"/>
          <w:color w:val="auto"/>
        </w:rPr>
      </w:pPr>
      <w:bookmarkStart w:id="272" w:name="_Toc24863"/>
      <w:bookmarkStart w:id="273" w:name="_Toc24321"/>
      <w:bookmarkStart w:id="274" w:name="_Toc506205368"/>
      <w:bookmarkStart w:id="275" w:name="_Toc503961429"/>
      <w:bookmarkStart w:id="276" w:name="_Toc24318"/>
      <w:bookmarkStart w:id="277" w:name="_Toc503983096"/>
    </w:p>
    <w:p>
      <w:pPr>
        <w:snapToGrid w:val="0"/>
        <w:spacing w:line="360" w:lineRule="auto"/>
        <w:rPr>
          <w:rFonts w:hint="eastAsia" w:cs="宋体"/>
          <w:color w:val="auto"/>
        </w:rPr>
      </w:pPr>
    </w:p>
    <w:p>
      <w:pPr>
        <w:snapToGrid w:val="0"/>
        <w:spacing w:line="360" w:lineRule="auto"/>
        <w:rPr>
          <w:rFonts w:hint="eastAsia" w:cs="宋体"/>
          <w:color w:val="auto"/>
        </w:rPr>
      </w:pPr>
    </w:p>
    <w:p>
      <w:pPr>
        <w:rPr>
          <w:rFonts w:hint="eastAsia" w:ascii="宋体" w:hAnsi="宋体" w:cs="宋体"/>
          <w:color w:val="auto"/>
          <w:kern w:val="0"/>
        </w:rPr>
      </w:pPr>
    </w:p>
    <w:p>
      <w:pPr>
        <w:pStyle w:val="2"/>
        <w:rPr>
          <w:rFonts w:hint="eastAsia" w:cs="宋体"/>
          <w:color w:val="auto"/>
          <w:kern w:val="0"/>
        </w:rPr>
      </w:pPr>
    </w:p>
    <w:p>
      <w:pPr>
        <w:pStyle w:val="2"/>
        <w:rPr>
          <w:rFonts w:hint="eastAsia" w:cs="宋体"/>
          <w:color w:val="auto"/>
          <w:kern w:val="0"/>
        </w:rPr>
      </w:pPr>
    </w:p>
    <w:p>
      <w:pPr>
        <w:pStyle w:val="2"/>
        <w:rPr>
          <w:rFonts w:hint="eastAsia" w:cs="宋体"/>
          <w:color w:val="auto"/>
          <w:kern w:val="0"/>
        </w:rPr>
      </w:pPr>
    </w:p>
    <w:p>
      <w:pPr>
        <w:pStyle w:val="2"/>
        <w:rPr>
          <w:rFonts w:hint="eastAsia" w:cs="宋体"/>
          <w:color w:val="auto"/>
          <w:kern w:val="0"/>
        </w:rPr>
      </w:pPr>
    </w:p>
    <w:p>
      <w:pPr>
        <w:snapToGrid w:val="0"/>
        <w:spacing w:line="360" w:lineRule="auto"/>
        <w:rPr>
          <w:rFonts w:hint="eastAsia" w:cs="宋体"/>
          <w:color w:val="auto"/>
        </w:rPr>
      </w:pPr>
    </w:p>
    <w:p>
      <w:pPr>
        <w:snapToGrid w:val="0"/>
        <w:spacing w:line="360" w:lineRule="auto"/>
        <w:rPr>
          <w:rFonts w:hint="eastAsia" w:cs="宋体"/>
          <w:color w:val="auto"/>
        </w:rPr>
      </w:pPr>
    </w:p>
    <w:p>
      <w:pPr>
        <w:snapToGrid w:val="0"/>
        <w:spacing w:line="360" w:lineRule="auto"/>
        <w:rPr>
          <w:rFonts w:hint="eastAsia" w:cs="宋体"/>
          <w:color w:val="auto"/>
        </w:rPr>
      </w:pPr>
    </w:p>
    <w:p>
      <w:pPr>
        <w:snapToGrid w:val="0"/>
        <w:spacing w:line="360" w:lineRule="auto"/>
        <w:rPr>
          <w:rFonts w:hint="eastAsia" w:cs="宋体"/>
          <w:color w:val="auto"/>
        </w:rPr>
      </w:pPr>
    </w:p>
    <w:p>
      <w:pPr>
        <w:pStyle w:val="8"/>
        <w:snapToGrid w:val="0"/>
        <w:spacing w:before="0" w:after="0" w:line="360" w:lineRule="auto"/>
        <w:rPr>
          <w:rFonts w:hint="eastAsia" w:cs="宋体"/>
          <w:color w:val="auto"/>
        </w:rPr>
      </w:pPr>
      <w:r>
        <w:rPr>
          <w:rFonts w:hint="eastAsia" w:cs="宋体"/>
          <w:color w:val="auto"/>
        </w:rPr>
        <w:t>（三）全国企业信用信息公示系统严重违法失信企业名单查询页面截图</w:t>
      </w:r>
      <w:bookmarkEnd w:id="272"/>
      <w:bookmarkEnd w:id="273"/>
    </w:p>
    <w:p>
      <w:pPr>
        <w:snapToGrid w:val="0"/>
        <w:rPr>
          <w:rFonts w:hint="eastAsia" w:ascii="宋体" w:hAnsi="宋体" w:cs="宋体"/>
          <w:color w:val="auto"/>
          <w:kern w:val="0"/>
        </w:rPr>
      </w:pPr>
    </w:p>
    <w:p>
      <w:pPr>
        <w:snapToGrid w:val="0"/>
        <w:rPr>
          <w:rFonts w:hint="eastAsia" w:ascii="宋体" w:hAnsi="宋体" w:cs="宋体"/>
          <w:color w:val="auto"/>
          <w:kern w:val="0"/>
        </w:rPr>
      </w:pPr>
    </w:p>
    <w:p>
      <w:pPr>
        <w:snapToGrid w:val="0"/>
        <w:rPr>
          <w:rFonts w:hint="eastAsia" w:ascii="宋体" w:hAnsi="宋体" w:cs="宋体"/>
          <w:color w:val="auto"/>
          <w:kern w:val="0"/>
        </w:rPr>
      </w:pPr>
    </w:p>
    <w:p>
      <w:pPr>
        <w:snapToGrid w:val="0"/>
        <w:rPr>
          <w:rFonts w:hint="eastAsia" w:ascii="宋体" w:hAnsi="宋体" w:cs="宋体"/>
          <w:color w:val="auto"/>
          <w:kern w:val="0"/>
        </w:rPr>
      </w:pPr>
    </w:p>
    <w:p>
      <w:pPr>
        <w:pStyle w:val="8"/>
        <w:snapToGrid w:val="0"/>
        <w:spacing w:before="0" w:after="0"/>
        <w:rPr>
          <w:rFonts w:hint="eastAsia" w:cs="宋体"/>
          <w:color w:val="auto"/>
        </w:rPr>
      </w:pPr>
      <w:bookmarkStart w:id="278" w:name="_Toc506205366"/>
      <w:bookmarkStart w:id="279" w:name="_Toc7967"/>
      <w:bookmarkStart w:id="280" w:name="_Toc21107"/>
      <w:bookmarkStart w:id="281" w:name="_Toc503983094"/>
      <w:bookmarkStart w:id="282" w:name="_Toc9053"/>
      <w:bookmarkStart w:id="283" w:name="_Toc503961427"/>
      <w:r>
        <w:rPr>
          <w:rFonts w:hint="eastAsia" w:cs="宋体"/>
          <w:color w:val="auto"/>
        </w:rPr>
        <w:br w:type="column"/>
      </w:r>
      <w:r>
        <w:rPr>
          <w:rFonts w:hint="eastAsia" w:cs="宋体"/>
          <w:color w:val="auto"/>
        </w:rPr>
        <w:t>（四）“信用中国”网站或各级信用信息共享平台失信被执行人名单查询页面截图</w:t>
      </w:r>
      <w:bookmarkEnd w:id="278"/>
      <w:bookmarkEnd w:id="279"/>
      <w:bookmarkEnd w:id="280"/>
      <w:bookmarkEnd w:id="281"/>
      <w:bookmarkEnd w:id="282"/>
      <w:bookmarkEnd w:id="283"/>
    </w:p>
    <w:p>
      <w:pPr>
        <w:snapToGrid w:val="0"/>
        <w:rPr>
          <w:rFonts w:hint="eastAsia" w:ascii="宋体" w:hAnsi="宋体" w:cs="宋体"/>
          <w:color w:val="auto"/>
          <w:kern w:val="0"/>
        </w:rPr>
      </w:pPr>
    </w:p>
    <w:p>
      <w:pPr>
        <w:snapToGrid w:val="0"/>
        <w:rPr>
          <w:rFonts w:hint="eastAsia" w:ascii="宋体" w:hAnsi="宋体" w:cs="宋体"/>
          <w:color w:val="auto"/>
          <w:kern w:val="0"/>
        </w:rPr>
      </w:pPr>
    </w:p>
    <w:p>
      <w:pPr>
        <w:snapToGrid w:val="0"/>
        <w:rPr>
          <w:rFonts w:hint="eastAsia" w:ascii="宋体" w:hAnsi="宋体" w:cs="宋体"/>
          <w:color w:val="auto"/>
          <w:kern w:val="0"/>
        </w:rPr>
      </w:pPr>
    </w:p>
    <w:p>
      <w:pPr>
        <w:snapToGrid w:val="0"/>
        <w:rPr>
          <w:rFonts w:hint="eastAsia" w:ascii="宋体" w:hAnsi="宋体" w:cs="宋体"/>
          <w:color w:val="auto"/>
          <w:kern w:val="0"/>
        </w:rPr>
      </w:pPr>
    </w:p>
    <w:p>
      <w:pPr>
        <w:keepNext/>
        <w:keepLines/>
        <w:snapToGrid w:val="0"/>
        <w:rPr>
          <w:rFonts w:hint="eastAsia" w:cs="宋体"/>
          <w:color w:val="auto"/>
        </w:rPr>
      </w:pPr>
      <w:bookmarkStart w:id="284" w:name="_Toc26893"/>
      <w:bookmarkStart w:id="285" w:name="_Toc27095"/>
    </w:p>
    <w:p>
      <w:pPr>
        <w:keepNext/>
        <w:keepLines/>
        <w:snapToGrid w:val="0"/>
        <w:rPr>
          <w:rFonts w:hint="eastAsia" w:cs="宋体"/>
          <w:color w:val="auto"/>
        </w:rPr>
      </w:pPr>
    </w:p>
    <w:p>
      <w:pPr>
        <w:keepNext/>
        <w:keepLines/>
        <w:snapToGrid w:val="0"/>
        <w:rPr>
          <w:rFonts w:hint="eastAsia" w:cs="宋体"/>
          <w:color w:val="auto"/>
        </w:rPr>
      </w:pPr>
    </w:p>
    <w:p>
      <w:pPr>
        <w:keepNext/>
        <w:keepLines/>
        <w:snapToGrid w:val="0"/>
        <w:rPr>
          <w:rFonts w:hint="eastAsia" w:cs="宋体"/>
          <w:color w:val="auto"/>
        </w:rPr>
      </w:pPr>
    </w:p>
    <w:p>
      <w:pPr>
        <w:keepNext/>
        <w:keepLines/>
        <w:snapToGrid w:val="0"/>
        <w:rPr>
          <w:rFonts w:hint="eastAsia" w:cs="宋体"/>
          <w:color w:val="auto"/>
        </w:rPr>
      </w:pPr>
    </w:p>
    <w:p>
      <w:pPr>
        <w:keepNext/>
        <w:keepLines/>
        <w:snapToGrid w:val="0"/>
        <w:rPr>
          <w:rFonts w:hint="eastAsia" w:cs="宋体"/>
          <w:color w:val="auto"/>
        </w:rPr>
      </w:pPr>
    </w:p>
    <w:p>
      <w:pPr>
        <w:keepNext/>
        <w:keepLines/>
        <w:snapToGrid w:val="0"/>
        <w:rPr>
          <w:rFonts w:hint="eastAsia" w:cs="宋体"/>
          <w:color w:val="auto"/>
        </w:rPr>
      </w:pPr>
    </w:p>
    <w:p>
      <w:pPr>
        <w:keepNext/>
        <w:keepLines/>
        <w:snapToGrid w:val="0"/>
        <w:rPr>
          <w:rFonts w:hint="eastAsia" w:cs="宋体"/>
          <w:color w:val="auto"/>
        </w:rPr>
      </w:pPr>
    </w:p>
    <w:p>
      <w:pPr>
        <w:keepNext/>
        <w:keepLines/>
        <w:snapToGrid w:val="0"/>
        <w:rPr>
          <w:rFonts w:hint="eastAsia" w:cs="宋体"/>
          <w:color w:val="auto"/>
        </w:rPr>
      </w:pPr>
    </w:p>
    <w:p>
      <w:pPr>
        <w:keepNext/>
        <w:keepLines/>
        <w:snapToGrid w:val="0"/>
        <w:rPr>
          <w:rFonts w:hint="eastAsia" w:cs="宋体"/>
          <w:color w:val="auto"/>
        </w:rPr>
      </w:pPr>
    </w:p>
    <w:p>
      <w:pPr>
        <w:keepNext/>
        <w:keepLines/>
        <w:snapToGrid w:val="0"/>
        <w:rPr>
          <w:rFonts w:hint="eastAsia" w:cs="宋体"/>
          <w:color w:val="auto"/>
        </w:rPr>
      </w:pPr>
    </w:p>
    <w:p>
      <w:pPr>
        <w:keepNext/>
        <w:keepLines/>
        <w:snapToGrid w:val="0"/>
        <w:rPr>
          <w:rFonts w:hint="eastAsia" w:cs="宋体"/>
          <w:color w:val="auto"/>
        </w:rPr>
      </w:pPr>
    </w:p>
    <w:p>
      <w:pPr>
        <w:keepNext/>
        <w:keepLines/>
        <w:snapToGrid w:val="0"/>
        <w:rPr>
          <w:rFonts w:hint="eastAsia" w:cs="宋体"/>
          <w:color w:val="auto"/>
        </w:rPr>
      </w:pPr>
    </w:p>
    <w:p>
      <w:pPr>
        <w:keepNext/>
        <w:keepLines/>
        <w:snapToGrid w:val="0"/>
        <w:rPr>
          <w:rFonts w:hint="eastAsia" w:cs="宋体"/>
          <w:color w:val="auto"/>
        </w:rPr>
      </w:pPr>
    </w:p>
    <w:p>
      <w:pPr>
        <w:keepNext/>
        <w:keepLines/>
        <w:snapToGrid w:val="0"/>
        <w:rPr>
          <w:rFonts w:hint="eastAsia" w:cs="宋体"/>
          <w:color w:val="auto"/>
        </w:rPr>
      </w:pPr>
    </w:p>
    <w:p>
      <w:pPr>
        <w:keepNext/>
        <w:keepLines/>
        <w:snapToGrid w:val="0"/>
        <w:rPr>
          <w:rFonts w:hint="eastAsia" w:cs="宋体"/>
          <w:color w:val="auto"/>
        </w:rPr>
      </w:pPr>
    </w:p>
    <w:p>
      <w:pPr>
        <w:keepNext/>
        <w:keepLines/>
        <w:snapToGrid w:val="0"/>
        <w:rPr>
          <w:rFonts w:hint="eastAsia" w:cs="宋体"/>
          <w:color w:val="auto"/>
        </w:rPr>
      </w:pPr>
    </w:p>
    <w:p>
      <w:pPr>
        <w:keepNext/>
        <w:keepLines/>
        <w:snapToGrid w:val="0"/>
        <w:rPr>
          <w:rFonts w:hint="eastAsia" w:cs="宋体"/>
          <w:color w:val="auto"/>
        </w:rPr>
      </w:pPr>
    </w:p>
    <w:p>
      <w:pPr>
        <w:keepNext/>
        <w:keepLines/>
        <w:snapToGrid w:val="0"/>
        <w:rPr>
          <w:rFonts w:hint="eastAsia" w:cs="宋体"/>
          <w:color w:val="auto"/>
        </w:rPr>
      </w:pPr>
    </w:p>
    <w:p>
      <w:pPr>
        <w:keepNext/>
        <w:keepLines/>
        <w:snapToGrid w:val="0"/>
        <w:rPr>
          <w:rFonts w:hint="eastAsia" w:cs="宋体"/>
          <w:color w:val="auto"/>
        </w:rPr>
      </w:pPr>
    </w:p>
    <w:p>
      <w:pPr>
        <w:keepNext/>
        <w:keepLines/>
        <w:snapToGrid w:val="0"/>
        <w:rPr>
          <w:rFonts w:hint="eastAsia" w:cs="宋体"/>
          <w:color w:val="auto"/>
        </w:rPr>
      </w:pPr>
    </w:p>
    <w:p>
      <w:pPr>
        <w:keepNext/>
        <w:keepLines/>
        <w:snapToGrid w:val="0"/>
        <w:rPr>
          <w:rFonts w:hint="eastAsia" w:cs="宋体"/>
          <w:color w:val="auto"/>
        </w:rPr>
      </w:pPr>
    </w:p>
    <w:p>
      <w:pPr>
        <w:pStyle w:val="8"/>
        <w:snapToGrid w:val="0"/>
        <w:spacing w:before="0" w:after="0"/>
        <w:rPr>
          <w:rFonts w:hint="eastAsia" w:cs="宋体"/>
          <w:color w:val="auto"/>
        </w:rPr>
      </w:pPr>
      <w:r>
        <w:rPr>
          <w:rFonts w:hint="eastAsia" w:cs="宋体"/>
          <w:color w:val="auto"/>
        </w:rPr>
        <w:t>（五）其他</w:t>
      </w:r>
      <w:bookmarkEnd w:id="284"/>
      <w:bookmarkEnd w:id="285"/>
    </w:p>
    <w:bookmarkEnd w:id="274"/>
    <w:bookmarkEnd w:id="275"/>
    <w:bookmarkEnd w:id="276"/>
    <w:bookmarkEnd w:id="277"/>
    <w:p>
      <w:pPr>
        <w:snapToGrid w:val="0"/>
        <w:spacing w:line="360" w:lineRule="auto"/>
        <w:rPr>
          <w:rFonts w:hint="eastAsia" w:ascii="宋体" w:hAnsi="宋体" w:cs="宋体"/>
          <w:color w:val="auto"/>
          <w:kern w:val="0"/>
        </w:rPr>
      </w:pPr>
      <w:r>
        <w:rPr>
          <w:rFonts w:hint="eastAsia" w:ascii="宋体" w:hAnsi="宋体" w:cs="宋体"/>
          <w:color w:val="auto"/>
          <w:kern w:val="0"/>
        </w:rPr>
        <w:t>注释：此处可附“第二章 评标办法”所要求的材料或投标人认为需要提供的其他材料。</w:t>
      </w:r>
    </w:p>
    <w:p>
      <w:pPr>
        <w:snapToGrid w:val="0"/>
        <w:spacing w:line="360" w:lineRule="auto"/>
        <w:rPr>
          <w:rFonts w:hint="eastAsia" w:ascii="宋体" w:hAnsi="宋体" w:cs="宋体"/>
          <w:color w:val="auto"/>
          <w:kern w:val="0"/>
        </w:rPr>
      </w:pP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jc w:val="center"/>
    </w:pPr>
    <w:r>
      <w:fldChar w:fldCharType="begin"/>
    </w:r>
    <w:r>
      <w:instrText xml:space="preserve">PAGE   \* MERGEFORMAT</w:instrText>
    </w:r>
    <w:r>
      <w:fldChar w:fldCharType="separate"/>
    </w:r>
    <w:r>
      <w:rPr>
        <w:lang w:val="zh-CN"/>
      </w:rPr>
      <w:t>6</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52ED8E"/>
    <w:multiLevelType w:val="singleLevel"/>
    <w:tmpl w:val="8152ED8E"/>
    <w:lvl w:ilvl="0" w:tentative="0">
      <w:start w:val="1"/>
      <w:numFmt w:val="decimal"/>
      <w:lvlText w:val="%1."/>
      <w:lvlJc w:val="left"/>
      <w:pPr>
        <w:ind w:left="425" w:hanging="425"/>
      </w:pPr>
      <w:rPr>
        <w:rFonts w:hint="default"/>
      </w:rPr>
    </w:lvl>
  </w:abstractNum>
  <w:abstractNum w:abstractNumId="1">
    <w:nsid w:val="B94FCBAA"/>
    <w:multiLevelType w:val="singleLevel"/>
    <w:tmpl w:val="B94FCBAA"/>
    <w:lvl w:ilvl="0" w:tentative="0">
      <w:start w:val="1"/>
      <w:numFmt w:val="decimal"/>
      <w:suff w:val="nothing"/>
      <w:lvlText w:val="（%1）"/>
      <w:lvlJc w:val="left"/>
    </w:lvl>
  </w:abstractNum>
  <w:abstractNum w:abstractNumId="2">
    <w:nsid w:val="DB642D62"/>
    <w:multiLevelType w:val="singleLevel"/>
    <w:tmpl w:val="DB642D62"/>
    <w:lvl w:ilvl="0" w:tentative="0">
      <w:start w:val="11"/>
      <w:numFmt w:val="decimal"/>
      <w:suff w:val="nothing"/>
      <w:lvlText w:val="%1、"/>
      <w:lvlJc w:val="left"/>
    </w:lvl>
  </w:abstractNum>
  <w:abstractNum w:abstractNumId="3">
    <w:nsid w:val="252E11D8"/>
    <w:multiLevelType w:val="multilevel"/>
    <w:tmpl w:val="252E11D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E06F751"/>
    <w:multiLevelType w:val="singleLevel"/>
    <w:tmpl w:val="2E06F751"/>
    <w:lvl w:ilvl="0" w:tentative="0">
      <w:start w:val="1"/>
      <w:numFmt w:val="decimal"/>
      <w:suff w:val="nothing"/>
      <w:lvlText w:val="（%1）"/>
      <w:lvlJc w:val="left"/>
    </w:lvl>
  </w:abstractNum>
  <w:abstractNum w:abstractNumId="5">
    <w:nsid w:val="34072716"/>
    <w:multiLevelType w:val="singleLevel"/>
    <w:tmpl w:val="34072716"/>
    <w:lvl w:ilvl="0" w:tentative="0">
      <w:start w:val="1"/>
      <w:numFmt w:val="decimal"/>
      <w:lvlText w:val="(%1)"/>
      <w:lvlJc w:val="left"/>
      <w:pPr>
        <w:ind w:left="425" w:hanging="425"/>
      </w:pPr>
      <w:rPr>
        <w:rFonts w:hint="default"/>
      </w:r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78E787C8"/>
    <w:multiLevelType w:val="singleLevel"/>
    <w:tmpl w:val="78E787C8"/>
    <w:lvl w:ilvl="0" w:tentative="0">
      <w:start w:val="1"/>
      <w:numFmt w:val="decimal"/>
      <w:suff w:val="nothing"/>
      <w:lvlText w:val="（%1）"/>
      <w:lvlJc w:val="left"/>
    </w:lvl>
  </w:abstractNum>
  <w:abstractNum w:abstractNumId="8">
    <w:nsid w:val="7E1C0879"/>
    <w:multiLevelType w:val="singleLevel"/>
    <w:tmpl w:val="7E1C0879"/>
    <w:lvl w:ilvl="0" w:tentative="0">
      <w:start w:val="3"/>
      <w:numFmt w:val="decimal"/>
      <w:lvlText w:val="%1."/>
      <w:lvlJc w:val="left"/>
      <w:pPr>
        <w:tabs>
          <w:tab w:val="left" w:pos="312"/>
        </w:tabs>
      </w:pPr>
    </w:lvl>
  </w:abstractNum>
  <w:num w:numId="1">
    <w:abstractNumId w:val="6"/>
  </w:num>
  <w:num w:numId="2">
    <w:abstractNumId w:val="1"/>
  </w:num>
  <w:num w:numId="3">
    <w:abstractNumId w:val="4"/>
  </w:num>
  <w:num w:numId="4">
    <w:abstractNumId w:val="7"/>
  </w:num>
  <w:num w:numId="5">
    <w:abstractNumId w:val="0"/>
  </w:num>
  <w:num w:numId="6">
    <w:abstractNumId w:val="5"/>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bordersDoNotSurroundHeader w:val="0"/>
  <w:bordersDoNotSurroundFooter w:val="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C0F"/>
    <w:rsid w:val="000041EA"/>
    <w:rsid w:val="000123F5"/>
    <w:rsid w:val="00014561"/>
    <w:rsid w:val="00022EF6"/>
    <w:rsid w:val="00031E1C"/>
    <w:rsid w:val="00037F00"/>
    <w:rsid w:val="0004614A"/>
    <w:rsid w:val="00051A2F"/>
    <w:rsid w:val="000666E6"/>
    <w:rsid w:val="00067C21"/>
    <w:rsid w:val="00072288"/>
    <w:rsid w:val="00082A05"/>
    <w:rsid w:val="00091871"/>
    <w:rsid w:val="000D0A00"/>
    <w:rsid w:val="000D2C22"/>
    <w:rsid w:val="000D7231"/>
    <w:rsid w:val="000E5C21"/>
    <w:rsid w:val="000F15C2"/>
    <w:rsid w:val="000F4F15"/>
    <w:rsid w:val="000F760A"/>
    <w:rsid w:val="00106AAD"/>
    <w:rsid w:val="001265B6"/>
    <w:rsid w:val="001330F0"/>
    <w:rsid w:val="00140862"/>
    <w:rsid w:val="001531B5"/>
    <w:rsid w:val="00156DA9"/>
    <w:rsid w:val="00160070"/>
    <w:rsid w:val="00165CCD"/>
    <w:rsid w:val="00167DFD"/>
    <w:rsid w:val="001A2A6C"/>
    <w:rsid w:val="001A529D"/>
    <w:rsid w:val="001B0194"/>
    <w:rsid w:val="001B2D3B"/>
    <w:rsid w:val="001C129F"/>
    <w:rsid w:val="001C4317"/>
    <w:rsid w:val="001C58F8"/>
    <w:rsid w:val="001D4A67"/>
    <w:rsid w:val="001F03F4"/>
    <w:rsid w:val="001F37BB"/>
    <w:rsid w:val="00216AD8"/>
    <w:rsid w:val="002374A4"/>
    <w:rsid w:val="0024218F"/>
    <w:rsid w:val="00245E10"/>
    <w:rsid w:val="0025036A"/>
    <w:rsid w:val="0025485D"/>
    <w:rsid w:val="00266A2B"/>
    <w:rsid w:val="00271F89"/>
    <w:rsid w:val="00275B7A"/>
    <w:rsid w:val="0028235C"/>
    <w:rsid w:val="00284C0D"/>
    <w:rsid w:val="00286B13"/>
    <w:rsid w:val="002A3B88"/>
    <w:rsid w:val="002B47B2"/>
    <w:rsid w:val="002C6F4D"/>
    <w:rsid w:val="002D5922"/>
    <w:rsid w:val="002E581F"/>
    <w:rsid w:val="00311EE4"/>
    <w:rsid w:val="003124AA"/>
    <w:rsid w:val="00327F04"/>
    <w:rsid w:val="00332C21"/>
    <w:rsid w:val="00352EA5"/>
    <w:rsid w:val="00362C11"/>
    <w:rsid w:val="00366439"/>
    <w:rsid w:val="00371F8D"/>
    <w:rsid w:val="003B651A"/>
    <w:rsid w:val="003C6976"/>
    <w:rsid w:val="003D0EB1"/>
    <w:rsid w:val="003D4E22"/>
    <w:rsid w:val="003E3034"/>
    <w:rsid w:val="00400A2C"/>
    <w:rsid w:val="004014CF"/>
    <w:rsid w:val="00401BD9"/>
    <w:rsid w:val="00403D52"/>
    <w:rsid w:val="0041189B"/>
    <w:rsid w:val="0041433F"/>
    <w:rsid w:val="00417181"/>
    <w:rsid w:val="004228F0"/>
    <w:rsid w:val="0044056B"/>
    <w:rsid w:val="00445CA5"/>
    <w:rsid w:val="00475EF8"/>
    <w:rsid w:val="00483C76"/>
    <w:rsid w:val="004917E8"/>
    <w:rsid w:val="0049181A"/>
    <w:rsid w:val="00491B0E"/>
    <w:rsid w:val="004A0133"/>
    <w:rsid w:val="004A1B4D"/>
    <w:rsid w:val="004A3120"/>
    <w:rsid w:val="004A3D52"/>
    <w:rsid w:val="004B06AE"/>
    <w:rsid w:val="004B0D17"/>
    <w:rsid w:val="004B2270"/>
    <w:rsid w:val="004B62D9"/>
    <w:rsid w:val="004C2E56"/>
    <w:rsid w:val="004C321A"/>
    <w:rsid w:val="004D0F65"/>
    <w:rsid w:val="004D5EAF"/>
    <w:rsid w:val="004E3715"/>
    <w:rsid w:val="004F7F51"/>
    <w:rsid w:val="005113EB"/>
    <w:rsid w:val="005156BB"/>
    <w:rsid w:val="00516ED0"/>
    <w:rsid w:val="00557168"/>
    <w:rsid w:val="00561E93"/>
    <w:rsid w:val="00566D7C"/>
    <w:rsid w:val="0057070A"/>
    <w:rsid w:val="0058191D"/>
    <w:rsid w:val="00583412"/>
    <w:rsid w:val="0059032B"/>
    <w:rsid w:val="005B355F"/>
    <w:rsid w:val="005B5EE3"/>
    <w:rsid w:val="005B746D"/>
    <w:rsid w:val="005C172A"/>
    <w:rsid w:val="005C6F48"/>
    <w:rsid w:val="005F1204"/>
    <w:rsid w:val="0060646A"/>
    <w:rsid w:val="0061026C"/>
    <w:rsid w:val="00615502"/>
    <w:rsid w:val="0061759C"/>
    <w:rsid w:val="006277D2"/>
    <w:rsid w:val="00643073"/>
    <w:rsid w:val="00644803"/>
    <w:rsid w:val="00647382"/>
    <w:rsid w:val="00647E4F"/>
    <w:rsid w:val="006625B1"/>
    <w:rsid w:val="00662988"/>
    <w:rsid w:val="0067248B"/>
    <w:rsid w:val="006753DB"/>
    <w:rsid w:val="006A1C37"/>
    <w:rsid w:val="006A34F2"/>
    <w:rsid w:val="006B1367"/>
    <w:rsid w:val="006C4CDE"/>
    <w:rsid w:val="006C675C"/>
    <w:rsid w:val="006C74E5"/>
    <w:rsid w:val="006E0BEC"/>
    <w:rsid w:val="006E1379"/>
    <w:rsid w:val="006E21C0"/>
    <w:rsid w:val="006E4AF0"/>
    <w:rsid w:val="006F3015"/>
    <w:rsid w:val="00704A12"/>
    <w:rsid w:val="00710627"/>
    <w:rsid w:val="007246F7"/>
    <w:rsid w:val="00731C7B"/>
    <w:rsid w:val="00733AB9"/>
    <w:rsid w:val="00734B67"/>
    <w:rsid w:val="0075208B"/>
    <w:rsid w:val="00752C0F"/>
    <w:rsid w:val="0075302D"/>
    <w:rsid w:val="007566B8"/>
    <w:rsid w:val="00766A66"/>
    <w:rsid w:val="00770EB2"/>
    <w:rsid w:val="00775CC9"/>
    <w:rsid w:val="00786619"/>
    <w:rsid w:val="008043E0"/>
    <w:rsid w:val="00806C8B"/>
    <w:rsid w:val="00820753"/>
    <w:rsid w:val="0082431D"/>
    <w:rsid w:val="008308AB"/>
    <w:rsid w:val="00834214"/>
    <w:rsid w:val="008353A5"/>
    <w:rsid w:val="00837413"/>
    <w:rsid w:val="00844944"/>
    <w:rsid w:val="0085186F"/>
    <w:rsid w:val="00851EAC"/>
    <w:rsid w:val="00855906"/>
    <w:rsid w:val="008623F4"/>
    <w:rsid w:val="00867F01"/>
    <w:rsid w:val="00877C45"/>
    <w:rsid w:val="00884B16"/>
    <w:rsid w:val="00891671"/>
    <w:rsid w:val="00891674"/>
    <w:rsid w:val="008D1128"/>
    <w:rsid w:val="008E03A9"/>
    <w:rsid w:val="008E6F9A"/>
    <w:rsid w:val="008F3022"/>
    <w:rsid w:val="00911BE9"/>
    <w:rsid w:val="00932354"/>
    <w:rsid w:val="00947832"/>
    <w:rsid w:val="00951C96"/>
    <w:rsid w:val="00952889"/>
    <w:rsid w:val="00956287"/>
    <w:rsid w:val="00960A97"/>
    <w:rsid w:val="009826DE"/>
    <w:rsid w:val="009A1B74"/>
    <w:rsid w:val="009A3D3D"/>
    <w:rsid w:val="009A463C"/>
    <w:rsid w:val="009B3576"/>
    <w:rsid w:val="009B6F03"/>
    <w:rsid w:val="009C303A"/>
    <w:rsid w:val="009C35F1"/>
    <w:rsid w:val="009D1BB4"/>
    <w:rsid w:val="009E1E09"/>
    <w:rsid w:val="009F1FE4"/>
    <w:rsid w:val="00A03879"/>
    <w:rsid w:val="00A151D8"/>
    <w:rsid w:val="00A15B5D"/>
    <w:rsid w:val="00A3181C"/>
    <w:rsid w:val="00A32FA5"/>
    <w:rsid w:val="00A409B9"/>
    <w:rsid w:val="00A40C05"/>
    <w:rsid w:val="00A430A9"/>
    <w:rsid w:val="00A7433C"/>
    <w:rsid w:val="00A763F4"/>
    <w:rsid w:val="00A840C1"/>
    <w:rsid w:val="00A93A0B"/>
    <w:rsid w:val="00A94ADF"/>
    <w:rsid w:val="00AA53B8"/>
    <w:rsid w:val="00AA7B89"/>
    <w:rsid w:val="00AC0D46"/>
    <w:rsid w:val="00AC3918"/>
    <w:rsid w:val="00AE7672"/>
    <w:rsid w:val="00AF1E6D"/>
    <w:rsid w:val="00AF793C"/>
    <w:rsid w:val="00B12850"/>
    <w:rsid w:val="00B12DAD"/>
    <w:rsid w:val="00B131C3"/>
    <w:rsid w:val="00B21CF0"/>
    <w:rsid w:val="00B43DF7"/>
    <w:rsid w:val="00B47868"/>
    <w:rsid w:val="00B57212"/>
    <w:rsid w:val="00B7579F"/>
    <w:rsid w:val="00B75BC3"/>
    <w:rsid w:val="00B8193F"/>
    <w:rsid w:val="00B8604B"/>
    <w:rsid w:val="00BA3DE9"/>
    <w:rsid w:val="00BA62D1"/>
    <w:rsid w:val="00BA7682"/>
    <w:rsid w:val="00BC3269"/>
    <w:rsid w:val="00BC6F7D"/>
    <w:rsid w:val="00BF2C07"/>
    <w:rsid w:val="00BF7332"/>
    <w:rsid w:val="00C042E8"/>
    <w:rsid w:val="00C05F2B"/>
    <w:rsid w:val="00C06799"/>
    <w:rsid w:val="00C3797C"/>
    <w:rsid w:val="00C40144"/>
    <w:rsid w:val="00C566BC"/>
    <w:rsid w:val="00C73DE0"/>
    <w:rsid w:val="00C75CAB"/>
    <w:rsid w:val="00C76C9B"/>
    <w:rsid w:val="00C81D3D"/>
    <w:rsid w:val="00C93338"/>
    <w:rsid w:val="00C945B3"/>
    <w:rsid w:val="00CA28C0"/>
    <w:rsid w:val="00CA616C"/>
    <w:rsid w:val="00CA6342"/>
    <w:rsid w:val="00CB1582"/>
    <w:rsid w:val="00CB170B"/>
    <w:rsid w:val="00CD04C8"/>
    <w:rsid w:val="00CD2ECC"/>
    <w:rsid w:val="00D310AC"/>
    <w:rsid w:val="00D474AE"/>
    <w:rsid w:val="00D51087"/>
    <w:rsid w:val="00D609A9"/>
    <w:rsid w:val="00D77C73"/>
    <w:rsid w:val="00D82302"/>
    <w:rsid w:val="00D91E85"/>
    <w:rsid w:val="00D95C33"/>
    <w:rsid w:val="00DC42C6"/>
    <w:rsid w:val="00DC7054"/>
    <w:rsid w:val="00DD584F"/>
    <w:rsid w:val="00DD670A"/>
    <w:rsid w:val="00DE3561"/>
    <w:rsid w:val="00DE5067"/>
    <w:rsid w:val="00DF3CF0"/>
    <w:rsid w:val="00E03A25"/>
    <w:rsid w:val="00E334B1"/>
    <w:rsid w:val="00E352FB"/>
    <w:rsid w:val="00E36432"/>
    <w:rsid w:val="00E50790"/>
    <w:rsid w:val="00E51630"/>
    <w:rsid w:val="00E64AF8"/>
    <w:rsid w:val="00E70BA7"/>
    <w:rsid w:val="00E72860"/>
    <w:rsid w:val="00E72B36"/>
    <w:rsid w:val="00E9613D"/>
    <w:rsid w:val="00EC6613"/>
    <w:rsid w:val="00ED070E"/>
    <w:rsid w:val="00ED41F2"/>
    <w:rsid w:val="00ED5862"/>
    <w:rsid w:val="00EE1929"/>
    <w:rsid w:val="00EF4BF7"/>
    <w:rsid w:val="00EF6FC2"/>
    <w:rsid w:val="00F01BC6"/>
    <w:rsid w:val="00F03B50"/>
    <w:rsid w:val="00F15D88"/>
    <w:rsid w:val="00F16A52"/>
    <w:rsid w:val="00F274E6"/>
    <w:rsid w:val="00F319B9"/>
    <w:rsid w:val="00F43BDE"/>
    <w:rsid w:val="00F4449E"/>
    <w:rsid w:val="00F479B6"/>
    <w:rsid w:val="00F57FB3"/>
    <w:rsid w:val="00F655B9"/>
    <w:rsid w:val="00F67FAD"/>
    <w:rsid w:val="00F70723"/>
    <w:rsid w:val="00F74B7D"/>
    <w:rsid w:val="00F80E79"/>
    <w:rsid w:val="00F8559B"/>
    <w:rsid w:val="00F862E2"/>
    <w:rsid w:val="00F932EF"/>
    <w:rsid w:val="00FA7E6A"/>
    <w:rsid w:val="00FB191A"/>
    <w:rsid w:val="00FB5A76"/>
    <w:rsid w:val="00FC091B"/>
    <w:rsid w:val="00FD014A"/>
    <w:rsid w:val="00FD6F60"/>
    <w:rsid w:val="00FE604D"/>
    <w:rsid w:val="010D39A8"/>
    <w:rsid w:val="011804D3"/>
    <w:rsid w:val="011D13A3"/>
    <w:rsid w:val="012B728A"/>
    <w:rsid w:val="012F4D3A"/>
    <w:rsid w:val="016E1053"/>
    <w:rsid w:val="016F1DEB"/>
    <w:rsid w:val="01702D1D"/>
    <w:rsid w:val="01717EDE"/>
    <w:rsid w:val="01765538"/>
    <w:rsid w:val="018018DB"/>
    <w:rsid w:val="018031FE"/>
    <w:rsid w:val="01911FA3"/>
    <w:rsid w:val="01960F75"/>
    <w:rsid w:val="01A97590"/>
    <w:rsid w:val="01AA01B2"/>
    <w:rsid w:val="01AD1221"/>
    <w:rsid w:val="01B45EE3"/>
    <w:rsid w:val="01BD3141"/>
    <w:rsid w:val="01D9535B"/>
    <w:rsid w:val="01DB6451"/>
    <w:rsid w:val="01ED63EC"/>
    <w:rsid w:val="01EE5AD8"/>
    <w:rsid w:val="021F6D4F"/>
    <w:rsid w:val="022157CC"/>
    <w:rsid w:val="022B6B30"/>
    <w:rsid w:val="023012A2"/>
    <w:rsid w:val="02474959"/>
    <w:rsid w:val="02495C93"/>
    <w:rsid w:val="02626608"/>
    <w:rsid w:val="029934BD"/>
    <w:rsid w:val="02A84724"/>
    <w:rsid w:val="02AD6E3B"/>
    <w:rsid w:val="02BA70E4"/>
    <w:rsid w:val="02BF335D"/>
    <w:rsid w:val="02DE5036"/>
    <w:rsid w:val="02E21402"/>
    <w:rsid w:val="02E26397"/>
    <w:rsid w:val="031D64D1"/>
    <w:rsid w:val="03401295"/>
    <w:rsid w:val="03532722"/>
    <w:rsid w:val="035478E7"/>
    <w:rsid w:val="03565345"/>
    <w:rsid w:val="035F34AD"/>
    <w:rsid w:val="036D7105"/>
    <w:rsid w:val="037056C9"/>
    <w:rsid w:val="03B43460"/>
    <w:rsid w:val="03E3256E"/>
    <w:rsid w:val="03F375F9"/>
    <w:rsid w:val="04001966"/>
    <w:rsid w:val="0404578E"/>
    <w:rsid w:val="041B5A3A"/>
    <w:rsid w:val="042C35CD"/>
    <w:rsid w:val="043B7180"/>
    <w:rsid w:val="043E36C5"/>
    <w:rsid w:val="04431FEA"/>
    <w:rsid w:val="0456259B"/>
    <w:rsid w:val="04615986"/>
    <w:rsid w:val="046825F5"/>
    <w:rsid w:val="0473654A"/>
    <w:rsid w:val="047A21CC"/>
    <w:rsid w:val="047A5A69"/>
    <w:rsid w:val="048C2A92"/>
    <w:rsid w:val="049E7993"/>
    <w:rsid w:val="04D17B32"/>
    <w:rsid w:val="04D50F48"/>
    <w:rsid w:val="04DB11B3"/>
    <w:rsid w:val="04E265A6"/>
    <w:rsid w:val="04F25427"/>
    <w:rsid w:val="04F36288"/>
    <w:rsid w:val="04FE2027"/>
    <w:rsid w:val="050A219A"/>
    <w:rsid w:val="05186CC8"/>
    <w:rsid w:val="051B3E29"/>
    <w:rsid w:val="052172D6"/>
    <w:rsid w:val="0525461D"/>
    <w:rsid w:val="053F72A6"/>
    <w:rsid w:val="054E111B"/>
    <w:rsid w:val="05681D15"/>
    <w:rsid w:val="056F67CD"/>
    <w:rsid w:val="059506FC"/>
    <w:rsid w:val="05DF63AA"/>
    <w:rsid w:val="060104FC"/>
    <w:rsid w:val="0609535F"/>
    <w:rsid w:val="062D6AF1"/>
    <w:rsid w:val="06460CA6"/>
    <w:rsid w:val="065A3DB1"/>
    <w:rsid w:val="0669641E"/>
    <w:rsid w:val="066C12E0"/>
    <w:rsid w:val="069343D1"/>
    <w:rsid w:val="06975C46"/>
    <w:rsid w:val="06B907B7"/>
    <w:rsid w:val="06BE2A51"/>
    <w:rsid w:val="06BF28A9"/>
    <w:rsid w:val="06CC32B6"/>
    <w:rsid w:val="06CF444E"/>
    <w:rsid w:val="076508C3"/>
    <w:rsid w:val="07771AEC"/>
    <w:rsid w:val="07817870"/>
    <w:rsid w:val="078D50D7"/>
    <w:rsid w:val="078F202F"/>
    <w:rsid w:val="07916396"/>
    <w:rsid w:val="07D74599"/>
    <w:rsid w:val="07D7683A"/>
    <w:rsid w:val="07F30A4B"/>
    <w:rsid w:val="0801517C"/>
    <w:rsid w:val="080B1188"/>
    <w:rsid w:val="081C4F64"/>
    <w:rsid w:val="082C145E"/>
    <w:rsid w:val="08452672"/>
    <w:rsid w:val="0852384A"/>
    <w:rsid w:val="086350CF"/>
    <w:rsid w:val="086C7145"/>
    <w:rsid w:val="08785051"/>
    <w:rsid w:val="087A66FE"/>
    <w:rsid w:val="08961BAE"/>
    <w:rsid w:val="08C0310F"/>
    <w:rsid w:val="08D07BF6"/>
    <w:rsid w:val="08D52672"/>
    <w:rsid w:val="08E57874"/>
    <w:rsid w:val="08EA7C6B"/>
    <w:rsid w:val="08EF0876"/>
    <w:rsid w:val="08F40771"/>
    <w:rsid w:val="08F907D3"/>
    <w:rsid w:val="08FE35FF"/>
    <w:rsid w:val="0913744C"/>
    <w:rsid w:val="091D23FB"/>
    <w:rsid w:val="0926557A"/>
    <w:rsid w:val="09373E72"/>
    <w:rsid w:val="094B57D2"/>
    <w:rsid w:val="09506311"/>
    <w:rsid w:val="095256AB"/>
    <w:rsid w:val="095337D9"/>
    <w:rsid w:val="09587731"/>
    <w:rsid w:val="095D4721"/>
    <w:rsid w:val="096D5B28"/>
    <w:rsid w:val="09752957"/>
    <w:rsid w:val="09894C35"/>
    <w:rsid w:val="099368F0"/>
    <w:rsid w:val="099509FE"/>
    <w:rsid w:val="099A78ED"/>
    <w:rsid w:val="099F2909"/>
    <w:rsid w:val="09A622AF"/>
    <w:rsid w:val="09B65D3B"/>
    <w:rsid w:val="09BA3678"/>
    <w:rsid w:val="09BD305F"/>
    <w:rsid w:val="09CA09F2"/>
    <w:rsid w:val="09F70C40"/>
    <w:rsid w:val="0A1A0AEF"/>
    <w:rsid w:val="0A1A51DC"/>
    <w:rsid w:val="0A1B269E"/>
    <w:rsid w:val="0A374EDE"/>
    <w:rsid w:val="0A477E0A"/>
    <w:rsid w:val="0A49597E"/>
    <w:rsid w:val="0A652BFB"/>
    <w:rsid w:val="0A6801A0"/>
    <w:rsid w:val="0A701142"/>
    <w:rsid w:val="0A9F5F32"/>
    <w:rsid w:val="0AA408F9"/>
    <w:rsid w:val="0AA80630"/>
    <w:rsid w:val="0AB04BF1"/>
    <w:rsid w:val="0ABF39D2"/>
    <w:rsid w:val="0AC85041"/>
    <w:rsid w:val="0AE86FB5"/>
    <w:rsid w:val="0AF47C00"/>
    <w:rsid w:val="0AFD1090"/>
    <w:rsid w:val="0B0C06D1"/>
    <w:rsid w:val="0B1422D4"/>
    <w:rsid w:val="0B1F2364"/>
    <w:rsid w:val="0B2008BD"/>
    <w:rsid w:val="0B4734F5"/>
    <w:rsid w:val="0B4956D6"/>
    <w:rsid w:val="0B4C493B"/>
    <w:rsid w:val="0B585994"/>
    <w:rsid w:val="0B606C2C"/>
    <w:rsid w:val="0B606F71"/>
    <w:rsid w:val="0B70534E"/>
    <w:rsid w:val="0B71689B"/>
    <w:rsid w:val="0B752BF9"/>
    <w:rsid w:val="0B8C7603"/>
    <w:rsid w:val="0B9D04FA"/>
    <w:rsid w:val="0BB03541"/>
    <w:rsid w:val="0BC27091"/>
    <w:rsid w:val="0BEA4AE2"/>
    <w:rsid w:val="0BFD0671"/>
    <w:rsid w:val="0C1C7757"/>
    <w:rsid w:val="0C227A5C"/>
    <w:rsid w:val="0C333B51"/>
    <w:rsid w:val="0C3C68F9"/>
    <w:rsid w:val="0C3D624F"/>
    <w:rsid w:val="0C4E03B9"/>
    <w:rsid w:val="0C6177E3"/>
    <w:rsid w:val="0C69705C"/>
    <w:rsid w:val="0C6A1543"/>
    <w:rsid w:val="0C772D2C"/>
    <w:rsid w:val="0C7C2E00"/>
    <w:rsid w:val="0C8544E3"/>
    <w:rsid w:val="0C871752"/>
    <w:rsid w:val="0C894A85"/>
    <w:rsid w:val="0C991C84"/>
    <w:rsid w:val="0CA84B6D"/>
    <w:rsid w:val="0CAF44D7"/>
    <w:rsid w:val="0CBC1630"/>
    <w:rsid w:val="0CD414DC"/>
    <w:rsid w:val="0CEF6030"/>
    <w:rsid w:val="0D16615F"/>
    <w:rsid w:val="0D223EB6"/>
    <w:rsid w:val="0D2439CB"/>
    <w:rsid w:val="0D3546E2"/>
    <w:rsid w:val="0D585357"/>
    <w:rsid w:val="0D645D4C"/>
    <w:rsid w:val="0D73504C"/>
    <w:rsid w:val="0D743DA7"/>
    <w:rsid w:val="0D7558EC"/>
    <w:rsid w:val="0D7C66C7"/>
    <w:rsid w:val="0D997203"/>
    <w:rsid w:val="0D9A768C"/>
    <w:rsid w:val="0DCA32BA"/>
    <w:rsid w:val="0DE7433C"/>
    <w:rsid w:val="0DFA04F4"/>
    <w:rsid w:val="0E1928C3"/>
    <w:rsid w:val="0E211836"/>
    <w:rsid w:val="0E261263"/>
    <w:rsid w:val="0E420EBF"/>
    <w:rsid w:val="0E6D7A9A"/>
    <w:rsid w:val="0E7B4CCD"/>
    <w:rsid w:val="0E7E0733"/>
    <w:rsid w:val="0E7E752E"/>
    <w:rsid w:val="0E884124"/>
    <w:rsid w:val="0E917B50"/>
    <w:rsid w:val="0EAE096B"/>
    <w:rsid w:val="0ECA5ABC"/>
    <w:rsid w:val="0ED108F8"/>
    <w:rsid w:val="0EF01A23"/>
    <w:rsid w:val="0EF23395"/>
    <w:rsid w:val="0EF71439"/>
    <w:rsid w:val="0F054A46"/>
    <w:rsid w:val="0F0B28AB"/>
    <w:rsid w:val="0F1D5001"/>
    <w:rsid w:val="0F2077C5"/>
    <w:rsid w:val="0F364A3B"/>
    <w:rsid w:val="0F3971B3"/>
    <w:rsid w:val="0F452D91"/>
    <w:rsid w:val="0F5144F7"/>
    <w:rsid w:val="0F58587C"/>
    <w:rsid w:val="0F695AD8"/>
    <w:rsid w:val="0F89472B"/>
    <w:rsid w:val="0F920E9D"/>
    <w:rsid w:val="0FA472A7"/>
    <w:rsid w:val="0FAF43BB"/>
    <w:rsid w:val="0FB95FCF"/>
    <w:rsid w:val="0FBC3114"/>
    <w:rsid w:val="0FDF2781"/>
    <w:rsid w:val="0FE53E31"/>
    <w:rsid w:val="0FF0320A"/>
    <w:rsid w:val="0FF05EEA"/>
    <w:rsid w:val="10132641"/>
    <w:rsid w:val="10157C7C"/>
    <w:rsid w:val="102A2080"/>
    <w:rsid w:val="102C2A8E"/>
    <w:rsid w:val="1046073E"/>
    <w:rsid w:val="10582472"/>
    <w:rsid w:val="105A25A2"/>
    <w:rsid w:val="10693C87"/>
    <w:rsid w:val="106A35E8"/>
    <w:rsid w:val="10711524"/>
    <w:rsid w:val="10723602"/>
    <w:rsid w:val="107A1422"/>
    <w:rsid w:val="109C4AB0"/>
    <w:rsid w:val="109D7E30"/>
    <w:rsid w:val="10B67E0E"/>
    <w:rsid w:val="10BE40BD"/>
    <w:rsid w:val="10C72120"/>
    <w:rsid w:val="10CF0DE8"/>
    <w:rsid w:val="10D11E51"/>
    <w:rsid w:val="10D4141B"/>
    <w:rsid w:val="10E01763"/>
    <w:rsid w:val="10FA3698"/>
    <w:rsid w:val="11156EB0"/>
    <w:rsid w:val="112E3286"/>
    <w:rsid w:val="113031FC"/>
    <w:rsid w:val="11451A14"/>
    <w:rsid w:val="11485E84"/>
    <w:rsid w:val="11541D4D"/>
    <w:rsid w:val="11555679"/>
    <w:rsid w:val="1158315F"/>
    <w:rsid w:val="116C6887"/>
    <w:rsid w:val="116F4B73"/>
    <w:rsid w:val="117716E5"/>
    <w:rsid w:val="11913A49"/>
    <w:rsid w:val="11921A52"/>
    <w:rsid w:val="11A81917"/>
    <w:rsid w:val="11AD3102"/>
    <w:rsid w:val="11B043F7"/>
    <w:rsid w:val="11C04F5E"/>
    <w:rsid w:val="11C55B38"/>
    <w:rsid w:val="11D16E92"/>
    <w:rsid w:val="11D2603A"/>
    <w:rsid w:val="11D61BE3"/>
    <w:rsid w:val="12056AF9"/>
    <w:rsid w:val="123423D5"/>
    <w:rsid w:val="123E3659"/>
    <w:rsid w:val="124C5C64"/>
    <w:rsid w:val="1252555D"/>
    <w:rsid w:val="12551DA3"/>
    <w:rsid w:val="127E746B"/>
    <w:rsid w:val="128B34DE"/>
    <w:rsid w:val="12A0536B"/>
    <w:rsid w:val="12AA0B04"/>
    <w:rsid w:val="12AA21C3"/>
    <w:rsid w:val="12AE4CFF"/>
    <w:rsid w:val="12AF37F4"/>
    <w:rsid w:val="12C77210"/>
    <w:rsid w:val="12EF6B77"/>
    <w:rsid w:val="12F4221E"/>
    <w:rsid w:val="12F77DF0"/>
    <w:rsid w:val="12F85544"/>
    <w:rsid w:val="12FA476B"/>
    <w:rsid w:val="12FC0582"/>
    <w:rsid w:val="130471A5"/>
    <w:rsid w:val="132B2476"/>
    <w:rsid w:val="132F791F"/>
    <w:rsid w:val="13430791"/>
    <w:rsid w:val="13497BDD"/>
    <w:rsid w:val="135B75CB"/>
    <w:rsid w:val="13680458"/>
    <w:rsid w:val="136D56CA"/>
    <w:rsid w:val="13913CF9"/>
    <w:rsid w:val="13A01451"/>
    <w:rsid w:val="13A02C26"/>
    <w:rsid w:val="13A30478"/>
    <w:rsid w:val="13AD7D6E"/>
    <w:rsid w:val="13B525E9"/>
    <w:rsid w:val="13B54AF6"/>
    <w:rsid w:val="13CB3822"/>
    <w:rsid w:val="13CC066F"/>
    <w:rsid w:val="13DB7533"/>
    <w:rsid w:val="13E250BA"/>
    <w:rsid w:val="13EF14B2"/>
    <w:rsid w:val="14002E3F"/>
    <w:rsid w:val="140624ED"/>
    <w:rsid w:val="1406436F"/>
    <w:rsid w:val="14182527"/>
    <w:rsid w:val="142208B3"/>
    <w:rsid w:val="14281EC5"/>
    <w:rsid w:val="144B50E3"/>
    <w:rsid w:val="144C1F09"/>
    <w:rsid w:val="14592105"/>
    <w:rsid w:val="14644192"/>
    <w:rsid w:val="147665BB"/>
    <w:rsid w:val="14855111"/>
    <w:rsid w:val="148E4996"/>
    <w:rsid w:val="149637F6"/>
    <w:rsid w:val="14AA7CA0"/>
    <w:rsid w:val="14F4475A"/>
    <w:rsid w:val="15014A85"/>
    <w:rsid w:val="15050B72"/>
    <w:rsid w:val="15166F1A"/>
    <w:rsid w:val="15230114"/>
    <w:rsid w:val="152B638A"/>
    <w:rsid w:val="153A04FC"/>
    <w:rsid w:val="153B1C44"/>
    <w:rsid w:val="154E3751"/>
    <w:rsid w:val="15897D7B"/>
    <w:rsid w:val="15996487"/>
    <w:rsid w:val="159E1983"/>
    <w:rsid w:val="15A3227F"/>
    <w:rsid w:val="15AB4129"/>
    <w:rsid w:val="15AC5203"/>
    <w:rsid w:val="15AD647F"/>
    <w:rsid w:val="15AF5FF4"/>
    <w:rsid w:val="15B3121D"/>
    <w:rsid w:val="15B5217E"/>
    <w:rsid w:val="15BA32B7"/>
    <w:rsid w:val="15CF1846"/>
    <w:rsid w:val="15DD2DB8"/>
    <w:rsid w:val="15E609D1"/>
    <w:rsid w:val="15E92819"/>
    <w:rsid w:val="15F54F27"/>
    <w:rsid w:val="15FB70A0"/>
    <w:rsid w:val="162025DA"/>
    <w:rsid w:val="162D4F37"/>
    <w:rsid w:val="162F2FFF"/>
    <w:rsid w:val="16475C13"/>
    <w:rsid w:val="16490B61"/>
    <w:rsid w:val="164F43BB"/>
    <w:rsid w:val="165A0B77"/>
    <w:rsid w:val="165C6B1F"/>
    <w:rsid w:val="166353F3"/>
    <w:rsid w:val="16696EC2"/>
    <w:rsid w:val="1673025F"/>
    <w:rsid w:val="167954AA"/>
    <w:rsid w:val="168D19FB"/>
    <w:rsid w:val="169E79EF"/>
    <w:rsid w:val="16BA671F"/>
    <w:rsid w:val="16CA5915"/>
    <w:rsid w:val="16E6240B"/>
    <w:rsid w:val="16EF059F"/>
    <w:rsid w:val="16F31084"/>
    <w:rsid w:val="16F96901"/>
    <w:rsid w:val="17041688"/>
    <w:rsid w:val="170A687D"/>
    <w:rsid w:val="17124C7F"/>
    <w:rsid w:val="172B4376"/>
    <w:rsid w:val="173A2E27"/>
    <w:rsid w:val="174B331E"/>
    <w:rsid w:val="174D5BBA"/>
    <w:rsid w:val="1775126C"/>
    <w:rsid w:val="177A6F4C"/>
    <w:rsid w:val="17840C7D"/>
    <w:rsid w:val="178C6F40"/>
    <w:rsid w:val="17926AF2"/>
    <w:rsid w:val="17990D72"/>
    <w:rsid w:val="17A50601"/>
    <w:rsid w:val="17B22529"/>
    <w:rsid w:val="17B53B91"/>
    <w:rsid w:val="17B62BAA"/>
    <w:rsid w:val="17C21AB5"/>
    <w:rsid w:val="17C778C8"/>
    <w:rsid w:val="17E31212"/>
    <w:rsid w:val="17FD277D"/>
    <w:rsid w:val="1807459F"/>
    <w:rsid w:val="181439C3"/>
    <w:rsid w:val="18330120"/>
    <w:rsid w:val="184108CA"/>
    <w:rsid w:val="185561D9"/>
    <w:rsid w:val="186C49EB"/>
    <w:rsid w:val="18716444"/>
    <w:rsid w:val="18747107"/>
    <w:rsid w:val="187C52F3"/>
    <w:rsid w:val="18903BA5"/>
    <w:rsid w:val="189B5476"/>
    <w:rsid w:val="18A646F8"/>
    <w:rsid w:val="18AF2A2E"/>
    <w:rsid w:val="18C07FBB"/>
    <w:rsid w:val="18C53638"/>
    <w:rsid w:val="18C606B8"/>
    <w:rsid w:val="18CB5A41"/>
    <w:rsid w:val="18DA1CB5"/>
    <w:rsid w:val="18DE216D"/>
    <w:rsid w:val="18E746F0"/>
    <w:rsid w:val="18EC74E1"/>
    <w:rsid w:val="18FF164B"/>
    <w:rsid w:val="190A17EE"/>
    <w:rsid w:val="190D4D2B"/>
    <w:rsid w:val="191C3BD0"/>
    <w:rsid w:val="194B1ADC"/>
    <w:rsid w:val="195F7471"/>
    <w:rsid w:val="196A3BCB"/>
    <w:rsid w:val="197B7C51"/>
    <w:rsid w:val="198849A6"/>
    <w:rsid w:val="19982929"/>
    <w:rsid w:val="19A03AC1"/>
    <w:rsid w:val="19A95FB0"/>
    <w:rsid w:val="19AD0C36"/>
    <w:rsid w:val="19AD6ED1"/>
    <w:rsid w:val="19B152FD"/>
    <w:rsid w:val="19B60C35"/>
    <w:rsid w:val="19B6367D"/>
    <w:rsid w:val="19CB6A61"/>
    <w:rsid w:val="19CD0318"/>
    <w:rsid w:val="19CE079E"/>
    <w:rsid w:val="19EB7E27"/>
    <w:rsid w:val="19EF09E6"/>
    <w:rsid w:val="19F12FB3"/>
    <w:rsid w:val="19FA344B"/>
    <w:rsid w:val="1A000515"/>
    <w:rsid w:val="1A3F70F6"/>
    <w:rsid w:val="1A5A5A93"/>
    <w:rsid w:val="1A6F4705"/>
    <w:rsid w:val="1A710BB3"/>
    <w:rsid w:val="1A7F6EB0"/>
    <w:rsid w:val="1A804E20"/>
    <w:rsid w:val="1A860F95"/>
    <w:rsid w:val="1A8F5853"/>
    <w:rsid w:val="1AA208FE"/>
    <w:rsid w:val="1AAE64EF"/>
    <w:rsid w:val="1AB529D3"/>
    <w:rsid w:val="1AB94DAB"/>
    <w:rsid w:val="1ACE70FA"/>
    <w:rsid w:val="1AD94E65"/>
    <w:rsid w:val="1ADD1108"/>
    <w:rsid w:val="1AE05D8E"/>
    <w:rsid w:val="1AE637C8"/>
    <w:rsid w:val="1AE80036"/>
    <w:rsid w:val="1AEC7543"/>
    <w:rsid w:val="1B0F149A"/>
    <w:rsid w:val="1B1972B6"/>
    <w:rsid w:val="1B283F8E"/>
    <w:rsid w:val="1B337B8B"/>
    <w:rsid w:val="1B351108"/>
    <w:rsid w:val="1B531146"/>
    <w:rsid w:val="1B7660A0"/>
    <w:rsid w:val="1B78646E"/>
    <w:rsid w:val="1B8374FB"/>
    <w:rsid w:val="1B9E1D6E"/>
    <w:rsid w:val="1BAA769E"/>
    <w:rsid w:val="1BB2339D"/>
    <w:rsid w:val="1BC44527"/>
    <w:rsid w:val="1BC50E66"/>
    <w:rsid w:val="1BD86DB9"/>
    <w:rsid w:val="1BF83AAE"/>
    <w:rsid w:val="1C2F2050"/>
    <w:rsid w:val="1C3E4614"/>
    <w:rsid w:val="1C3F7185"/>
    <w:rsid w:val="1C4A0804"/>
    <w:rsid w:val="1C4E180B"/>
    <w:rsid w:val="1C560200"/>
    <w:rsid w:val="1C615542"/>
    <w:rsid w:val="1C89259F"/>
    <w:rsid w:val="1C9919BA"/>
    <w:rsid w:val="1C9A7528"/>
    <w:rsid w:val="1C9D58ED"/>
    <w:rsid w:val="1CA3426E"/>
    <w:rsid w:val="1CC37B46"/>
    <w:rsid w:val="1CC44172"/>
    <w:rsid w:val="1CC6520E"/>
    <w:rsid w:val="1CF0652A"/>
    <w:rsid w:val="1CF812AF"/>
    <w:rsid w:val="1D002C90"/>
    <w:rsid w:val="1D0E5356"/>
    <w:rsid w:val="1D4577C9"/>
    <w:rsid w:val="1D4E74FE"/>
    <w:rsid w:val="1D560B94"/>
    <w:rsid w:val="1D7F4760"/>
    <w:rsid w:val="1D817B07"/>
    <w:rsid w:val="1D9651EF"/>
    <w:rsid w:val="1DA1646E"/>
    <w:rsid w:val="1DB73F82"/>
    <w:rsid w:val="1DE939C1"/>
    <w:rsid w:val="1DF04E30"/>
    <w:rsid w:val="1DF224E3"/>
    <w:rsid w:val="1E03720A"/>
    <w:rsid w:val="1E1D69E3"/>
    <w:rsid w:val="1E2579C9"/>
    <w:rsid w:val="1E59377F"/>
    <w:rsid w:val="1E666930"/>
    <w:rsid w:val="1E6A23C8"/>
    <w:rsid w:val="1E7518F5"/>
    <w:rsid w:val="1E7A053A"/>
    <w:rsid w:val="1E7D6139"/>
    <w:rsid w:val="1E8125C4"/>
    <w:rsid w:val="1E83139E"/>
    <w:rsid w:val="1E8A0046"/>
    <w:rsid w:val="1E94109F"/>
    <w:rsid w:val="1EA3489A"/>
    <w:rsid w:val="1EBE6291"/>
    <w:rsid w:val="1EC36481"/>
    <w:rsid w:val="1ED65408"/>
    <w:rsid w:val="1EDB3330"/>
    <w:rsid w:val="1EE0688E"/>
    <w:rsid w:val="1F0E5A08"/>
    <w:rsid w:val="1F197831"/>
    <w:rsid w:val="1F3A3212"/>
    <w:rsid w:val="1F4941A0"/>
    <w:rsid w:val="1F540EC8"/>
    <w:rsid w:val="1F5641FF"/>
    <w:rsid w:val="1F794709"/>
    <w:rsid w:val="1F867006"/>
    <w:rsid w:val="1F954C4B"/>
    <w:rsid w:val="1FA45EB7"/>
    <w:rsid w:val="1FAD4D8A"/>
    <w:rsid w:val="1FAE1DFF"/>
    <w:rsid w:val="1FB60629"/>
    <w:rsid w:val="1FD93985"/>
    <w:rsid w:val="1FDD58EE"/>
    <w:rsid w:val="1FF1198E"/>
    <w:rsid w:val="200B30D7"/>
    <w:rsid w:val="201D1352"/>
    <w:rsid w:val="20471C55"/>
    <w:rsid w:val="204A395E"/>
    <w:rsid w:val="204E5AF2"/>
    <w:rsid w:val="20504F4F"/>
    <w:rsid w:val="205C7E34"/>
    <w:rsid w:val="206922A3"/>
    <w:rsid w:val="209838BF"/>
    <w:rsid w:val="209C7568"/>
    <w:rsid w:val="20B574B0"/>
    <w:rsid w:val="20C21883"/>
    <w:rsid w:val="20D0371C"/>
    <w:rsid w:val="20E357BE"/>
    <w:rsid w:val="20F31FEA"/>
    <w:rsid w:val="210C7535"/>
    <w:rsid w:val="210E58A3"/>
    <w:rsid w:val="211819A5"/>
    <w:rsid w:val="21184623"/>
    <w:rsid w:val="211B56B2"/>
    <w:rsid w:val="21401FF6"/>
    <w:rsid w:val="21535205"/>
    <w:rsid w:val="215874A3"/>
    <w:rsid w:val="215C6B61"/>
    <w:rsid w:val="215D3BFB"/>
    <w:rsid w:val="217B1995"/>
    <w:rsid w:val="217F62E8"/>
    <w:rsid w:val="218376AF"/>
    <w:rsid w:val="21867D82"/>
    <w:rsid w:val="218F2179"/>
    <w:rsid w:val="21A81D06"/>
    <w:rsid w:val="21E92D5F"/>
    <w:rsid w:val="21EA2EBC"/>
    <w:rsid w:val="21EE1F3B"/>
    <w:rsid w:val="21FB271B"/>
    <w:rsid w:val="2200205F"/>
    <w:rsid w:val="22027591"/>
    <w:rsid w:val="22223475"/>
    <w:rsid w:val="222716B2"/>
    <w:rsid w:val="2233196C"/>
    <w:rsid w:val="22496F48"/>
    <w:rsid w:val="227B22FA"/>
    <w:rsid w:val="22A15E2F"/>
    <w:rsid w:val="22A64A35"/>
    <w:rsid w:val="22C71BAB"/>
    <w:rsid w:val="22DA7340"/>
    <w:rsid w:val="22F37BDD"/>
    <w:rsid w:val="23065BBA"/>
    <w:rsid w:val="23363D9D"/>
    <w:rsid w:val="2341453B"/>
    <w:rsid w:val="23415EFB"/>
    <w:rsid w:val="23443598"/>
    <w:rsid w:val="23686D8B"/>
    <w:rsid w:val="23885CDB"/>
    <w:rsid w:val="239047AD"/>
    <w:rsid w:val="23CC0CE8"/>
    <w:rsid w:val="23D8517A"/>
    <w:rsid w:val="23E9148E"/>
    <w:rsid w:val="23FD1F32"/>
    <w:rsid w:val="24041AD2"/>
    <w:rsid w:val="2404634F"/>
    <w:rsid w:val="240821B7"/>
    <w:rsid w:val="241218EE"/>
    <w:rsid w:val="241876D4"/>
    <w:rsid w:val="24284C43"/>
    <w:rsid w:val="24297319"/>
    <w:rsid w:val="243E3B3B"/>
    <w:rsid w:val="24401B9C"/>
    <w:rsid w:val="24425CE9"/>
    <w:rsid w:val="24474D3E"/>
    <w:rsid w:val="24550976"/>
    <w:rsid w:val="245A2F68"/>
    <w:rsid w:val="24692457"/>
    <w:rsid w:val="247102A6"/>
    <w:rsid w:val="248B30A4"/>
    <w:rsid w:val="24A20343"/>
    <w:rsid w:val="24A80DE8"/>
    <w:rsid w:val="24AF274E"/>
    <w:rsid w:val="24B74958"/>
    <w:rsid w:val="24C51573"/>
    <w:rsid w:val="24CD2207"/>
    <w:rsid w:val="24DD0EE1"/>
    <w:rsid w:val="25336550"/>
    <w:rsid w:val="25405B6F"/>
    <w:rsid w:val="254848FC"/>
    <w:rsid w:val="25484ED8"/>
    <w:rsid w:val="254B2249"/>
    <w:rsid w:val="2553119E"/>
    <w:rsid w:val="25536F67"/>
    <w:rsid w:val="25771FAC"/>
    <w:rsid w:val="25842D0D"/>
    <w:rsid w:val="259B52B3"/>
    <w:rsid w:val="259C376D"/>
    <w:rsid w:val="25A419B7"/>
    <w:rsid w:val="25A425EF"/>
    <w:rsid w:val="25A761F1"/>
    <w:rsid w:val="25B14D79"/>
    <w:rsid w:val="25B55F33"/>
    <w:rsid w:val="25CC5B07"/>
    <w:rsid w:val="25DA76C3"/>
    <w:rsid w:val="25DC1540"/>
    <w:rsid w:val="25F30202"/>
    <w:rsid w:val="25F86312"/>
    <w:rsid w:val="2608662C"/>
    <w:rsid w:val="260C7C43"/>
    <w:rsid w:val="26205A06"/>
    <w:rsid w:val="26222D15"/>
    <w:rsid w:val="262564E4"/>
    <w:rsid w:val="262B48A6"/>
    <w:rsid w:val="2643425F"/>
    <w:rsid w:val="265A11D6"/>
    <w:rsid w:val="265A2CA9"/>
    <w:rsid w:val="266C105C"/>
    <w:rsid w:val="26806536"/>
    <w:rsid w:val="268525E7"/>
    <w:rsid w:val="268729B0"/>
    <w:rsid w:val="268B1BA4"/>
    <w:rsid w:val="268D4103"/>
    <w:rsid w:val="269F5C5A"/>
    <w:rsid w:val="26BA4623"/>
    <w:rsid w:val="26CE19B1"/>
    <w:rsid w:val="26D10482"/>
    <w:rsid w:val="26D64A4A"/>
    <w:rsid w:val="26E4089F"/>
    <w:rsid w:val="26FA7425"/>
    <w:rsid w:val="271519FB"/>
    <w:rsid w:val="271D7CB4"/>
    <w:rsid w:val="2722222F"/>
    <w:rsid w:val="274C1B96"/>
    <w:rsid w:val="27502BC8"/>
    <w:rsid w:val="276F46AD"/>
    <w:rsid w:val="277079F0"/>
    <w:rsid w:val="278202BA"/>
    <w:rsid w:val="278B1867"/>
    <w:rsid w:val="27910129"/>
    <w:rsid w:val="27C63DDD"/>
    <w:rsid w:val="27D27DFC"/>
    <w:rsid w:val="27D632E0"/>
    <w:rsid w:val="27D95E6C"/>
    <w:rsid w:val="27E154F8"/>
    <w:rsid w:val="27F875FB"/>
    <w:rsid w:val="27FE3275"/>
    <w:rsid w:val="28043FF8"/>
    <w:rsid w:val="280B1A90"/>
    <w:rsid w:val="281E6D7A"/>
    <w:rsid w:val="28323270"/>
    <w:rsid w:val="28427300"/>
    <w:rsid w:val="284926EA"/>
    <w:rsid w:val="28545E2E"/>
    <w:rsid w:val="2857228D"/>
    <w:rsid w:val="2865285F"/>
    <w:rsid w:val="286E42EB"/>
    <w:rsid w:val="288966AE"/>
    <w:rsid w:val="288B1835"/>
    <w:rsid w:val="28950C50"/>
    <w:rsid w:val="28972D66"/>
    <w:rsid w:val="28A6386E"/>
    <w:rsid w:val="28B36FA4"/>
    <w:rsid w:val="28B60AF2"/>
    <w:rsid w:val="28C10D88"/>
    <w:rsid w:val="28C95CBD"/>
    <w:rsid w:val="28CF4EF9"/>
    <w:rsid w:val="28D754D4"/>
    <w:rsid w:val="28DF3AFD"/>
    <w:rsid w:val="28E07BA2"/>
    <w:rsid w:val="28E94EE0"/>
    <w:rsid w:val="28EA32AC"/>
    <w:rsid w:val="28EA53C7"/>
    <w:rsid w:val="28F55CC1"/>
    <w:rsid w:val="29092BAA"/>
    <w:rsid w:val="29270F87"/>
    <w:rsid w:val="29380586"/>
    <w:rsid w:val="29390D1B"/>
    <w:rsid w:val="29624C73"/>
    <w:rsid w:val="29696539"/>
    <w:rsid w:val="296C2DE5"/>
    <w:rsid w:val="29722537"/>
    <w:rsid w:val="298C1CB4"/>
    <w:rsid w:val="29A13C84"/>
    <w:rsid w:val="29C5485C"/>
    <w:rsid w:val="29D30D2B"/>
    <w:rsid w:val="29E0282D"/>
    <w:rsid w:val="29E748E2"/>
    <w:rsid w:val="29FB0F45"/>
    <w:rsid w:val="2A150E3F"/>
    <w:rsid w:val="2A1674EF"/>
    <w:rsid w:val="2A1B5CC2"/>
    <w:rsid w:val="2A1E7FDA"/>
    <w:rsid w:val="2A3518BD"/>
    <w:rsid w:val="2A3A466D"/>
    <w:rsid w:val="2A3D5B26"/>
    <w:rsid w:val="2A4E2302"/>
    <w:rsid w:val="2A4F0F33"/>
    <w:rsid w:val="2A4F740F"/>
    <w:rsid w:val="2A5E01A8"/>
    <w:rsid w:val="2A6B3149"/>
    <w:rsid w:val="2A744EDA"/>
    <w:rsid w:val="2A8F36AC"/>
    <w:rsid w:val="2AA06053"/>
    <w:rsid w:val="2AB05C5B"/>
    <w:rsid w:val="2AC100EB"/>
    <w:rsid w:val="2AD64479"/>
    <w:rsid w:val="2AD83B4E"/>
    <w:rsid w:val="2AFE28D7"/>
    <w:rsid w:val="2B1B43D8"/>
    <w:rsid w:val="2B2F69CC"/>
    <w:rsid w:val="2B3736C2"/>
    <w:rsid w:val="2B4F11EE"/>
    <w:rsid w:val="2B6C1488"/>
    <w:rsid w:val="2B741266"/>
    <w:rsid w:val="2B997542"/>
    <w:rsid w:val="2BA9311F"/>
    <w:rsid w:val="2BB21501"/>
    <w:rsid w:val="2BB3366B"/>
    <w:rsid w:val="2BB53006"/>
    <w:rsid w:val="2BBD5E3A"/>
    <w:rsid w:val="2BC2156C"/>
    <w:rsid w:val="2BC44D49"/>
    <w:rsid w:val="2BE670DA"/>
    <w:rsid w:val="2BFD4384"/>
    <w:rsid w:val="2C147407"/>
    <w:rsid w:val="2C1E2B8B"/>
    <w:rsid w:val="2C226800"/>
    <w:rsid w:val="2C3260C8"/>
    <w:rsid w:val="2C7123FF"/>
    <w:rsid w:val="2C873AFF"/>
    <w:rsid w:val="2C937EE3"/>
    <w:rsid w:val="2C9619FA"/>
    <w:rsid w:val="2CA769B2"/>
    <w:rsid w:val="2CCA76CB"/>
    <w:rsid w:val="2CCC5885"/>
    <w:rsid w:val="2CD36322"/>
    <w:rsid w:val="2CDD5CF1"/>
    <w:rsid w:val="2CEA179B"/>
    <w:rsid w:val="2CF21EBD"/>
    <w:rsid w:val="2CFF72AA"/>
    <w:rsid w:val="2D0727A4"/>
    <w:rsid w:val="2D0A59F6"/>
    <w:rsid w:val="2D156ABF"/>
    <w:rsid w:val="2D161030"/>
    <w:rsid w:val="2D3D0577"/>
    <w:rsid w:val="2D55756C"/>
    <w:rsid w:val="2D622A5D"/>
    <w:rsid w:val="2D681F48"/>
    <w:rsid w:val="2D8823A6"/>
    <w:rsid w:val="2DA74519"/>
    <w:rsid w:val="2DAF7AD1"/>
    <w:rsid w:val="2DB35D91"/>
    <w:rsid w:val="2DE6047A"/>
    <w:rsid w:val="2DF14AC0"/>
    <w:rsid w:val="2DF80803"/>
    <w:rsid w:val="2DFC71A7"/>
    <w:rsid w:val="2E0B70CD"/>
    <w:rsid w:val="2E10331E"/>
    <w:rsid w:val="2E106393"/>
    <w:rsid w:val="2E1268ED"/>
    <w:rsid w:val="2E195B7B"/>
    <w:rsid w:val="2E39120B"/>
    <w:rsid w:val="2E473050"/>
    <w:rsid w:val="2E4A235A"/>
    <w:rsid w:val="2E5E63D4"/>
    <w:rsid w:val="2E633378"/>
    <w:rsid w:val="2E7F5C0E"/>
    <w:rsid w:val="2E8E305C"/>
    <w:rsid w:val="2E9243B5"/>
    <w:rsid w:val="2E9521E9"/>
    <w:rsid w:val="2E9D730D"/>
    <w:rsid w:val="2EA46F85"/>
    <w:rsid w:val="2EAD2AE9"/>
    <w:rsid w:val="2EB30035"/>
    <w:rsid w:val="2EBC6C10"/>
    <w:rsid w:val="2ED4431F"/>
    <w:rsid w:val="2EE947FC"/>
    <w:rsid w:val="2EFA0DB5"/>
    <w:rsid w:val="2EFE1217"/>
    <w:rsid w:val="2F354E77"/>
    <w:rsid w:val="2F3E2E10"/>
    <w:rsid w:val="2F455DAB"/>
    <w:rsid w:val="2F4F4231"/>
    <w:rsid w:val="2F665DE8"/>
    <w:rsid w:val="2F6F2373"/>
    <w:rsid w:val="2F714E5B"/>
    <w:rsid w:val="2F71570E"/>
    <w:rsid w:val="2F8145ED"/>
    <w:rsid w:val="2FA32F2B"/>
    <w:rsid w:val="2FBA405E"/>
    <w:rsid w:val="2FBD27F0"/>
    <w:rsid w:val="2FC8512A"/>
    <w:rsid w:val="2FCE1D61"/>
    <w:rsid w:val="2FD919AA"/>
    <w:rsid w:val="2FDB3700"/>
    <w:rsid w:val="2FDC54E4"/>
    <w:rsid w:val="2FDD71B4"/>
    <w:rsid w:val="2FDF38F2"/>
    <w:rsid w:val="2FE74BAE"/>
    <w:rsid w:val="30184710"/>
    <w:rsid w:val="3021599B"/>
    <w:rsid w:val="302F5220"/>
    <w:rsid w:val="303209B6"/>
    <w:rsid w:val="305413BE"/>
    <w:rsid w:val="305504F6"/>
    <w:rsid w:val="305F308A"/>
    <w:rsid w:val="307A191D"/>
    <w:rsid w:val="307A456E"/>
    <w:rsid w:val="307A4BD6"/>
    <w:rsid w:val="30A62F22"/>
    <w:rsid w:val="30AC46AE"/>
    <w:rsid w:val="30BC2B3B"/>
    <w:rsid w:val="30C16B9D"/>
    <w:rsid w:val="30E32028"/>
    <w:rsid w:val="30EF2B23"/>
    <w:rsid w:val="30FB33A6"/>
    <w:rsid w:val="310349C1"/>
    <w:rsid w:val="31051AA9"/>
    <w:rsid w:val="311A3ADF"/>
    <w:rsid w:val="311D475E"/>
    <w:rsid w:val="31215A0C"/>
    <w:rsid w:val="31344EDD"/>
    <w:rsid w:val="31362FAD"/>
    <w:rsid w:val="313F4222"/>
    <w:rsid w:val="314936DD"/>
    <w:rsid w:val="314F4BEE"/>
    <w:rsid w:val="31636818"/>
    <w:rsid w:val="31737B4A"/>
    <w:rsid w:val="317C0525"/>
    <w:rsid w:val="31BB51CD"/>
    <w:rsid w:val="31C26FBE"/>
    <w:rsid w:val="31D44F14"/>
    <w:rsid w:val="31D96246"/>
    <w:rsid w:val="31E36800"/>
    <w:rsid w:val="31FB758F"/>
    <w:rsid w:val="32150B1B"/>
    <w:rsid w:val="321941D6"/>
    <w:rsid w:val="32217DE8"/>
    <w:rsid w:val="32392845"/>
    <w:rsid w:val="32494442"/>
    <w:rsid w:val="324C5478"/>
    <w:rsid w:val="324D6877"/>
    <w:rsid w:val="324E7AAC"/>
    <w:rsid w:val="32674A35"/>
    <w:rsid w:val="326B77FB"/>
    <w:rsid w:val="32823552"/>
    <w:rsid w:val="32831A80"/>
    <w:rsid w:val="328A3459"/>
    <w:rsid w:val="32C71D27"/>
    <w:rsid w:val="32D124DC"/>
    <w:rsid w:val="32D97E7F"/>
    <w:rsid w:val="32E7119D"/>
    <w:rsid w:val="32F02F3F"/>
    <w:rsid w:val="32F1173B"/>
    <w:rsid w:val="32F9520A"/>
    <w:rsid w:val="331C275F"/>
    <w:rsid w:val="332E6349"/>
    <w:rsid w:val="33402CC9"/>
    <w:rsid w:val="33585E79"/>
    <w:rsid w:val="335E7AFC"/>
    <w:rsid w:val="33671EF6"/>
    <w:rsid w:val="3386183D"/>
    <w:rsid w:val="33AC2F3A"/>
    <w:rsid w:val="33AF3BF4"/>
    <w:rsid w:val="33C3785C"/>
    <w:rsid w:val="33DB1E1E"/>
    <w:rsid w:val="33E76BBD"/>
    <w:rsid w:val="33EA15F4"/>
    <w:rsid w:val="33ED0BAF"/>
    <w:rsid w:val="33EF4D6B"/>
    <w:rsid w:val="33F93864"/>
    <w:rsid w:val="33FD6053"/>
    <w:rsid w:val="341E4782"/>
    <w:rsid w:val="343A7F23"/>
    <w:rsid w:val="344722E3"/>
    <w:rsid w:val="344772A5"/>
    <w:rsid w:val="344B621B"/>
    <w:rsid w:val="34532D3A"/>
    <w:rsid w:val="34636499"/>
    <w:rsid w:val="34777B31"/>
    <w:rsid w:val="348653B1"/>
    <w:rsid w:val="34917FE6"/>
    <w:rsid w:val="34971FC3"/>
    <w:rsid w:val="34B14B5D"/>
    <w:rsid w:val="34BA168F"/>
    <w:rsid w:val="34CB0D06"/>
    <w:rsid w:val="34CC5108"/>
    <w:rsid w:val="34F619B8"/>
    <w:rsid w:val="34F63E77"/>
    <w:rsid w:val="3516748E"/>
    <w:rsid w:val="351B1969"/>
    <w:rsid w:val="3520776B"/>
    <w:rsid w:val="35217CED"/>
    <w:rsid w:val="3529543C"/>
    <w:rsid w:val="352F4BF5"/>
    <w:rsid w:val="35614701"/>
    <w:rsid w:val="356B2FDF"/>
    <w:rsid w:val="357476FC"/>
    <w:rsid w:val="358C7C15"/>
    <w:rsid w:val="358F34CB"/>
    <w:rsid w:val="35911F21"/>
    <w:rsid w:val="35C02393"/>
    <w:rsid w:val="35CC6B99"/>
    <w:rsid w:val="35E05A10"/>
    <w:rsid w:val="35EC1AFB"/>
    <w:rsid w:val="35EC58DE"/>
    <w:rsid w:val="35FA537B"/>
    <w:rsid w:val="36065A7D"/>
    <w:rsid w:val="3609656A"/>
    <w:rsid w:val="36257D92"/>
    <w:rsid w:val="36261C5A"/>
    <w:rsid w:val="36273E62"/>
    <w:rsid w:val="363B7622"/>
    <w:rsid w:val="364D3CED"/>
    <w:rsid w:val="364F0364"/>
    <w:rsid w:val="36517617"/>
    <w:rsid w:val="36595160"/>
    <w:rsid w:val="366F44C8"/>
    <w:rsid w:val="368E098A"/>
    <w:rsid w:val="3690617A"/>
    <w:rsid w:val="36B468FD"/>
    <w:rsid w:val="36BA571C"/>
    <w:rsid w:val="36D1299C"/>
    <w:rsid w:val="36DF33DC"/>
    <w:rsid w:val="36E554B2"/>
    <w:rsid w:val="37106E95"/>
    <w:rsid w:val="371774EF"/>
    <w:rsid w:val="37183E90"/>
    <w:rsid w:val="37203A34"/>
    <w:rsid w:val="3725558C"/>
    <w:rsid w:val="373762D9"/>
    <w:rsid w:val="373A13A7"/>
    <w:rsid w:val="375B1389"/>
    <w:rsid w:val="376755E9"/>
    <w:rsid w:val="377A1742"/>
    <w:rsid w:val="377A5F68"/>
    <w:rsid w:val="37906552"/>
    <w:rsid w:val="37A645C8"/>
    <w:rsid w:val="37B70881"/>
    <w:rsid w:val="37C46E12"/>
    <w:rsid w:val="37C525D8"/>
    <w:rsid w:val="37CE51EC"/>
    <w:rsid w:val="37D506C6"/>
    <w:rsid w:val="37DB584C"/>
    <w:rsid w:val="37E06B6C"/>
    <w:rsid w:val="37E70466"/>
    <w:rsid w:val="37F660AB"/>
    <w:rsid w:val="38030E16"/>
    <w:rsid w:val="38106589"/>
    <w:rsid w:val="381C45F9"/>
    <w:rsid w:val="38232D7B"/>
    <w:rsid w:val="382E6DD9"/>
    <w:rsid w:val="38397DEF"/>
    <w:rsid w:val="38420DC3"/>
    <w:rsid w:val="38513F1F"/>
    <w:rsid w:val="3858224D"/>
    <w:rsid w:val="38593936"/>
    <w:rsid w:val="38626225"/>
    <w:rsid w:val="38662CBF"/>
    <w:rsid w:val="387D13E0"/>
    <w:rsid w:val="38804DCC"/>
    <w:rsid w:val="38824B36"/>
    <w:rsid w:val="3895194A"/>
    <w:rsid w:val="38955D2C"/>
    <w:rsid w:val="38B4462E"/>
    <w:rsid w:val="38D61113"/>
    <w:rsid w:val="38E52B58"/>
    <w:rsid w:val="38F24B27"/>
    <w:rsid w:val="38FA1ABA"/>
    <w:rsid w:val="38FF7BC0"/>
    <w:rsid w:val="3907080B"/>
    <w:rsid w:val="39092427"/>
    <w:rsid w:val="390D00B6"/>
    <w:rsid w:val="391475A2"/>
    <w:rsid w:val="391A31A3"/>
    <w:rsid w:val="393A32FD"/>
    <w:rsid w:val="394267CE"/>
    <w:rsid w:val="395F172D"/>
    <w:rsid w:val="39644017"/>
    <w:rsid w:val="396A01A1"/>
    <w:rsid w:val="3970104A"/>
    <w:rsid w:val="3976384F"/>
    <w:rsid w:val="398B3B41"/>
    <w:rsid w:val="398F7C4F"/>
    <w:rsid w:val="39905717"/>
    <w:rsid w:val="399941A1"/>
    <w:rsid w:val="39BF4224"/>
    <w:rsid w:val="39FA2259"/>
    <w:rsid w:val="3A182EB5"/>
    <w:rsid w:val="3A1C22F2"/>
    <w:rsid w:val="3A203622"/>
    <w:rsid w:val="3A2156EF"/>
    <w:rsid w:val="3A402B6B"/>
    <w:rsid w:val="3A6720FC"/>
    <w:rsid w:val="3A815E4F"/>
    <w:rsid w:val="3A8E60BF"/>
    <w:rsid w:val="3A9D60F8"/>
    <w:rsid w:val="3AAE6C39"/>
    <w:rsid w:val="3AB82ADA"/>
    <w:rsid w:val="3AE31A4F"/>
    <w:rsid w:val="3AF86A9E"/>
    <w:rsid w:val="3B260D0D"/>
    <w:rsid w:val="3B295388"/>
    <w:rsid w:val="3B2C1889"/>
    <w:rsid w:val="3B4405D3"/>
    <w:rsid w:val="3B533E12"/>
    <w:rsid w:val="3B5618DC"/>
    <w:rsid w:val="3B5E1338"/>
    <w:rsid w:val="3B6A0CA3"/>
    <w:rsid w:val="3BC05676"/>
    <w:rsid w:val="3BC23CBC"/>
    <w:rsid w:val="3BC66813"/>
    <w:rsid w:val="3BF37D60"/>
    <w:rsid w:val="3BFD270A"/>
    <w:rsid w:val="3C0B7F27"/>
    <w:rsid w:val="3C1A47AF"/>
    <w:rsid w:val="3C293BD1"/>
    <w:rsid w:val="3C2C0C39"/>
    <w:rsid w:val="3C5C6BDD"/>
    <w:rsid w:val="3C60560C"/>
    <w:rsid w:val="3C6B4849"/>
    <w:rsid w:val="3C6F1C5D"/>
    <w:rsid w:val="3C6F476C"/>
    <w:rsid w:val="3C7C5C69"/>
    <w:rsid w:val="3C8176B1"/>
    <w:rsid w:val="3C82492C"/>
    <w:rsid w:val="3C8F7961"/>
    <w:rsid w:val="3CC30EA6"/>
    <w:rsid w:val="3CC42B75"/>
    <w:rsid w:val="3CCF7576"/>
    <w:rsid w:val="3CDF6509"/>
    <w:rsid w:val="3CE70048"/>
    <w:rsid w:val="3CEA4A2C"/>
    <w:rsid w:val="3CF21D95"/>
    <w:rsid w:val="3CF61A6E"/>
    <w:rsid w:val="3CF62423"/>
    <w:rsid w:val="3D487CDE"/>
    <w:rsid w:val="3D6156AC"/>
    <w:rsid w:val="3D815BD8"/>
    <w:rsid w:val="3D820DF1"/>
    <w:rsid w:val="3D910657"/>
    <w:rsid w:val="3DAA731A"/>
    <w:rsid w:val="3DB45600"/>
    <w:rsid w:val="3DB70D88"/>
    <w:rsid w:val="3DC512E0"/>
    <w:rsid w:val="3DE857EB"/>
    <w:rsid w:val="3DEF1C09"/>
    <w:rsid w:val="3DF63C5A"/>
    <w:rsid w:val="3DF87BB5"/>
    <w:rsid w:val="3E103BBD"/>
    <w:rsid w:val="3E1B5B9F"/>
    <w:rsid w:val="3E3B4094"/>
    <w:rsid w:val="3E3C7DE5"/>
    <w:rsid w:val="3E4F3D98"/>
    <w:rsid w:val="3E630CF4"/>
    <w:rsid w:val="3E726E60"/>
    <w:rsid w:val="3E751CD1"/>
    <w:rsid w:val="3E7C20A2"/>
    <w:rsid w:val="3E7C7221"/>
    <w:rsid w:val="3E845BDC"/>
    <w:rsid w:val="3E9B15C5"/>
    <w:rsid w:val="3EA73C2E"/>
    <w:rsid w:val="3EB27FED"/>
    <w:rsid w:val="3EE62529"/>
    <w:rsid w:val="3EEF3E4A"/>
    <w:rsid w:val="3EF605F2"/>
    <w:rsid w:val="3F0100AD"/>
    <w:rsid w:val="3F0652E0"/>
    <w:rsid w:val="3F117B74"/>
    <w:rsid w:val="3F1600C7"/>
    <w:rsid w:val="3F242B34"/>
    <w:rsid w:val="3F2A2B70"/>
    <w:rsid w:val="3F2D5BBD"/>
    <w:rsid w:val="3F3A54B4"/>
    <w:rsid w:val="3F567D20"/>
    <w:rsid w:val="3F8728EE"/>
    <w:rsid w:val="3FB56EBB"/>
    <w:rsid w:val="3FC761BC"/>
    <w:rsid w:val="3FD060C1"/>
    <w:rsid w:val="3FD57EA0"/>
    <w:rsid w:val="3FDA00D9"/>
    <w:rsid w:val="3FE064D7"/>
    <w:rsid w:val="3FE810C3"/>
    <w:rsid w:val="3FF07789"/>
    <w:rsid w:val="3FF1760E"/>
    <w:rsid w:val="3FF35D47"/>
    <w:rsid w:val="3FF45FAB"/>
    <w:rsid w:val="40006988"/>
    <w:rsid w:val="400E682A"/>
    <w:rsid w:val="400F1ADA"/>
    <w:rsid w:val="40216BA4"/>
    <w:rsid w:val="403C1472"/>
    <w:rsid w:val="40411084"/>
    <w:rsid w:val="404605E0"/>
    <w:rsid w:val="40501548"/>
    <w:rsid w:val="405E6E9E"/>
    <w:rsid w:val="40843680"/>
    <w:rsid w:val="40872D16"/>
    <w:rsid w:val="40A27B2D"/>
    <w:rsid w:val="40A339E3"/>
    <w:rsid w:val="40B55754"/>
    <w:rsid w:val="40B8096E"/>
    <w:rsid w:val="40CB075D"/>
    <w:rsid w:val="40CC1292"/>
    <w:rsid w:val="40D1419D"/>
    <w:rsid w:val="40E73051"/>
    <w:rsid w:val="40E90D8F"/>
    <w:rsid w:val="40EE5B98"/>
    <w:rsid w:val="40F80BDD"/>
    <w:rsid w:val="40FC6DAB"/>
    <w:rsid w:val="41016840"/>
    <w:rsid w:val="4126191D"/>
    <w:rsid w:val="412D5D64"/>
    <w:rsid w:val="413440D5"/>
    <w:rsid w:val="4150514C"/>
    <w:rsid w:val="41570CAC"/>
    <w:rsid w:val="415D7508"/>
    <w:rsid w:val="417220BD"/>
    <w:rsid w:val="41786818"/>
    <w:rsid w:val="41915E7F"/>
    <w:rsid w:val="41A37164"/>
    <w:rsid w:val="41A658D5"/>
    <w:rsid w:val="41CC53D8"/>
    <w:rsid w:val="41ED52F9"/>
    <w:rsid w:val="41FB0254"/>
    <w:rsid w:val="4200044F"/>
    <w:rsid w:val="422B1C39"/>
    <w:rsid w:val="42331FC8"/>
    <w:rsid w:val="42365B46"/>
    <w:rsid w:val="42371431"/>
    <w:rsid w:val="423C25C7"/>
    <w:rsid w:val="423D4090"/>
    <w:rsid w:val="423D7B69"/>
    <w:rsid w:val="42576C9E"/>
    <w:rsid w:val="426605A0"/>
    <w:rsid w:val="426C4D56"/>
    <w:rsid w:val="428A3E5E"/>
    <w:rsid w:val="42A12667"/>
    <w:rsid w:val="42BE76F8"/>
    <w:rsid w:val="42D56F3C"/>
    <w:rsid w:val="42DE73FB"/>
    <w:rsid w:val="42EA47CA"/>
    <w:rsid w:val="42EE546E"/>
    <w:rsid w:val="4301480F"/>
    <w:rsid w:val="43040E84"/>
    <w:rsid w:val="43127266"/>
    <w:rsid w:val="433B36A9"/>
    <w:rsid w:val="434649F0"/>
    <w:rsid w:val="434F7D15"/>
    <w:rsid w:val="43544D12"/>
    <w:rsid w:val="43562CCE"/>
    <w:rsid w:val="43573F72"/>
    <w:rsid w:val="435B43FA"/>
    <w:rsid w:val="435B458B"/>
    <w:rsid w:val="435B7919"/>
    <w:rsid w:val="43647D78"/>
    <w:rsid w:val="43735A8F"/>
    <w:rsid w:val="43794574"/>
    <w:rsid w:val="437B1567"/>
    <w:rsid w:val="437C2BB3"/>
    <w:rsid w:val="437C7E61"/>
    <w:rsid w:val="43891561"/>
    <w:rsid w:val="438E3A57"/>
    <w:rsid w:val="43925BCA"/>
    <w:rsid w:val="43BC01D6"/>
    <w:rsid w:val="43CF65B5"/>
    <w:rsid w:val="43DA5249"/>
    <w:rsid w:val="43DC4AED"/>
    <w:rsid w:val="43F12FDF"/>
    <w:rsid w:val="43F17DAD"/>
    <w:rsid w:val="43FA1CBB"/>
    <w:rsid w:val="440D0B05"/>
    <w:rsid w:val="44126AEA"/>
    <w:rsid w:val="442D42E4"/>
    <w:rsid w:val="442F0B03"/>
    <w:rsid w:val="44321FCD"/>
    <w:rsid w:val="443379D1"/>
    <w:rsid w:val="444F1D61"/>
    <w:rsid w:val="44535D3C"/>
    <w:rsid w:val="445A1B54"/>
    <w:rsid w:val="445B016D"/>
    <w:rsid w:val="445D3657"/>
    <w:rsid w:val="44710D58"/>
    <w:rsid w:val="44B3126D"/>
    <w:rsid w:val="44BE3A0C"/>
    <w:rsid w:val="450620E0"/>
    <w:rsid w:val="45084857"/>
    <w:rsid w:val="450F16DF"/>
    <w:rsid w:val="452A7F84"/>
    <w:rsid w:val="452E2F9F"/>
    <w:rsid w:val="4539421B"/>
    <w:rsid w:val="454F3C73"/>
    <w:rsid w:val="456B6299"/>
    <w:rsid w:val="4578777B"/>
    <w:rsid w:val="45A6028F"/>
    <w:rsid w:val="45AF7291"/>
    <w:rsid w:val="45C87DB3"/>
    <w:rsid w:val="45CA052C"/>
    <w:rsid w:val="45D80A94"/>
    <w:rsid w:val="45ED154C"/>
    <w:rsid w:val="46102CE8"/>
    <w:rsid w:val="46133D22"/>
    <w:rsid w:val="461F57FF"/>
    <w:rsid w:val="46276455"/>
    <w:rsid w:val="463B75F1"/>
    <w:rsid w:val="463D7786"/>
    <w:rsid w:val="464A27D4"/>
    <w:rsid w:val="46547822"/>
    <w:rsid w:val="465B3D0C"/>
    <w:rsid w:val="465E5E5D"/>
    <w:rsid w:val="467E23D3"/>
    <w:rsid w:val="46891E52"/>
    <w:rsid w:val="469F4270"/>
    <w:rsid w:val="46A71EBA"/>
    <w:rsid w:val="46A92AD2"/>
    <w:rsid w:val="46D923E6"/>
    <w:rsid w:val="46E268DC"/>
    <w:rsid w:val="471C6F71"/>
    <w:rsid w:val="474E724B"/>
    <w:rsid w:val="475067F4"/>
    <w:rsid w:val="47614377"/>
    <w:rsid w:val="476E0F5D"/>
    <w:rsid w:val="47736E6E"/>
    <w:rsid w:val="4782415A"/>
    <w:rsid w:val="47A0548A"/>
    <w:rsid w:val="47A53433"/>
    <w:rsid w:val="47B50E1B"/>
    <w:rsid w:val="47B96C51"/>
    <w:rsid w:val="47C12283"/>
    <w:rsid w:val="47D06CBE"/>
    <w:rsid w:val="47E62E10"/>
    <w:rsid w:val="47E92677"/>
    <w:rsid w:val="47F231E5"/>
    <w:rsid w:val="47FC1656"/>
    <w:rsid w:val="481B3A29"/>
    <w:rsid w:val="481E7772"/>
    <w:rsid w:val="48382CB0"/>
    <w:rsid w:val="48427E0A"/>
    <w:rsid w:val="4845306E"/>
    <w:rsid w:val="484F0B16"/>
    <w:rsid w:val="4855050D"/>
    <w:rsid w:val="485E40C9"/>
    <w:rsid w:val="4874081D"/>
    <w:rsid w:val="488C02E1"/>
    <w:rsid w:val="489B6412"/>
    <w:rsid w:val="489F4F4C"/>
    <w:rsid w:val="48A032A2"/>
    <w:rsid w:val="48A7509B"/>
    <w:rsid w:val="48B22781"/>
    <w:rsid w:val="48C00FB2"/>
    <w:rsid w:val="48C16BA6"/>
    <w:rsid w:val="48F01B2A"/>
    <w:rsid w:val="48FD47B3"/>
    <w:rsid w:val="490F520C"/>
    <w:rsid w:val="49295CD2"/>
    <w:rsid w:val="493B2710"/>
    <w:rsid w:val="493D5CC2"/>
    <w:rsid w:val="49424E75"/>
    <w:rsid w:val="49616663"/>
    <w:rsid w:val="499001AD"/>
    <w:rsid w:val="49997346"/>
    <w:rsid w:val="49B820BB"/>
    <w:rsid w:val="49CB34CF"/>
    <w:rsid w:val="49E9087C"/>
    <w:rsid w:val="49FB0909"/>
    <w:rsid w:val="4A0F1D24"/>
    <w:rsid w:val="4A117CE9"/>
    <w:rsid w:val="4A1E28AA"/>
    <w:rsid w:val="4A2404B9"/>
    <w:rsid w:val="4A3C4E32"/>
    <w:rsid w:val="4A4E781A"/>
    <w:rsid w:val="4A58501A"/>
    <w:rsid w:val="4A644061"/>
    <w:rsid w:val="4A726243"/>
    <w:rsid w:val="4A743E58"/>
    <w:rsid w:val="4A893480"/>
    <w:rsid w:val="4A9144C3"/>
    <w:rsid w:val="4A9203A7"/>
    <w:rsid w:val="4A9A3EB1"/>
    <w:rsid w:val="4AAD21E4"/>
    <w:rsid w:val="4AB15179"/>
    <w:rsid w:val="4AB2685D"/>
    <w:rsid w:val="4AB94AA4"/>
    <w:rsid w:val="4AC64CD2"/>
    <w:rsid w:val="4ACF3297"/>
    <w:rsid w:val="4B0728F1"/>
    <w:rsid w:val="4B076A8E"/>
    <w:rsid w:val="4B0F5BD2"/>
    <w:rsid w:val="4B1B5F0F"/>
    <w:rsid w:val="4B201E26"/>
    <w:rsid w:val="4B44480D"/>
    <w:rsid w:val="4B5B73A0"/>
    <w:rsid w:val="4B5F2639"/>
    <w:rsid w:val="4B7170B0"/>
    <w:rsid w:val="4B925B21"/>
    <w:rsid w:val="4B930394"/>
    <w:rsid w:val="4B9A06D3"/>
    <w:rsid w:val="4B9E5988"/>
    <w:rsid w:val="4B9F099B"/>
    <w:rsid w:val="4BD8433A"/>
    <w:rsid w:val="4BDB2E9E"/>
    <w:rsid w:val="4BE14537"/>
    <w:rsid w:val="4BE2758F"/>
    <w:rsid w:val="4BED2079"/>
    <w:rsid w:val="4BF355E3"/>
    <w:rsid w:val="4BFC0E00"/>
    <w:rsid w:val="4BFE7BDA"/>
    <w:rsid w:val="4C230D57"/>
    <w:rsid w:val="4C3119C1"/>
    <w:rsid w:val="4C372E12"/>
    <w:rsid w:val="4C5464C9"/>
    <w:rsid w:val="4C631C56"/>
    <w:rsid w:val="4C6B4F86"/>
    <w:rsid w:val="4C8C3F4C"/>
    <w:rsid w:val="4CA53DA8"/>
    <w:rsid w:val="4CA5636C"/>
    <w:rsid w:val="4CA75AED"/>
    <w:rsid w:val="4CAE1B9A"/>
    <w:rsid w:val="4CAE608C"/>
    <w:rsid w:val="4CBE482A"/>
    <w:rsid w:val="4CC61B60"/>
    <w:rsid w:val="4CD22D45"/>
    <w:rsid w:val="4CDB2E61"/>
    <w:rsid w:val="4CE5710F"/>
    <w:rsid w:val="4CE95BDB"/>
    <w:rsid w:val="4CEF119D"/>
    <w:rsid w:val="4CF044BA"/>
    <w:rsid w:val="4CFE3BE2"/>
    <w:rsid w:val="4D012181"/>
    <w:rsid w:val="4D045F9C"/>
    <w:rsid w:val="4D2D2743"/>
    <w:rsid w:val="4D405A25"/>
    <w:rsid w:val="4D523FF7"/>
    <w:rsid w:val="4D5560BD"/>
    <w:rsid w:val="4D596D4D"/>
    <w:rsid w:val="4D6668ED"/>
    <w:rsid w:val="4D6D7641"/>
    <w:rsid w:val="4D703DC7"/>
    <w:rsid w:val="4D871527"/>
    <w:rsid w:val="4D8C3CB3"/>
    <w:rsid w:val="4DAC4FB3"/>
    <w:rsid w:val="4DD16564"/>
    <w:rsid w:val="4DDE0FDE"/>
    <w:rsid w:val="4DE5626A"/>
    <w:rsid w:val="4DFA7DC9"/>
    <w:rsid w:val="4DFE0282"/>
    <w:rsid w:val="4E234A06"/>
    <w:rsid w:val="4E234B59"/>
    <w:rsid w:val="4E370809"/>
    <w:rsid w:val="4E3C57AE"/>
    <w:rsid w:val="4E8D3F65"/>
    <w:rsid w:val="4E9C36E7"/>
    <w:rsid w:val="4EA610E2"/>
    <w:rsid w:val="4EB7500A"/>
    <w:rsid w:val="4EC77C82"/>
    <w:rsid w:val="4ED10E8E"/>
    <w:rsid w:val="4ED61D8E"/>
    <w:rsid w:val="4EDF322B"/>
    <w:rsid w:val="4EE353E4"/>
    <w:rsid w:val="4EEE5E33"/>
    <w:rsid w:val="4EFD599C"/>
    <w:rsid w:val="4F0D6289"/>
    <w:rsid w:val="4F2C1BE0"/>
    <w:rsid w:val="4F371AB2"/>
    <w:rsid w:val="4F472C08"/>
    <w:rsid w:val="4F4B6EB7"/>
    <w:rsid w:val="4F537F58"/>
    <w:rsid w:val="4F5F2EEC"/>
    <w:rsid w:val="4F675EBB"/>
    <w:rsid w:val="4F6831CE"/>
    <w:rsid w:val="4F6D4A08"/>
    <w:rsid w:val="4F742C7E"/>
    <w:rsid w:val="4F75640C"/>
    <w:rsid w:val="4F8158F2"/>
    <w:rsid w:val="4FAD7652"/>
    <w:rsid w:val="4FB3326E"/>
    <w:rsid w:val="50076701"/>
    <w:rsid w:val="50087645"/>
    <w:rsid w:val="5017682C"/>
    <w:rsid w:val="501A37FD"/>
    <w:rsid w:val="50311838"/>
    <w:rsid w:val="50361868"/>
    <w:rsid w:val="50531F3F"/>
    <w:rsid w:val="50573999"/>
    <w:rsid w:val="508358DD"/>
    <w:rsid w:val="50845E6C"/>
    <w:rsid w:val="50887728"/>
    <w:rsid w:val="508F418C"/>
    <w:rsid w:val="50B31972"/>
    <w:rsid w:val="50B443F8"/>
    <w:rsid w:val="50C115DE"/>
    <w:rsid w:val="50C11B24"/>
    <w:rsid w:val="50D959CD"/>
    <w:rsid w:val="50E84454"/>
    <w:rsid w:val="51084ACC"/>
    <w:rsid w:val="511240D7"/>
    <w:rsid w:val="512939C8"/>
    <w:rsid w:val="514C3F39"/>
    <w:rsid w:val="515F5780"/>
    <w:rsid w:val="515F6EAC"/>
    <w:rsid w:val="516A076B"/>
    <w:rsid w:val="517D0E96"/>
    <w:rsid w:val="519B5E81"/>
    <w:rsid w:val="51BB6F62"/>
    <w:rsid w:val="51C2324C"/>
    <w:rsid w:val="51E86F3B"/>
    <w:rsid w:val="51FF257B"/>
    <w:rsid w:val="52022C75"/>
    <w:rsid w:val="520B0D7B"/>
    <w:rsid w:val="520F118E"/>
    <w:rsid w:val="52101494"/>
    <w:rsid w:val="521527BB"/>
    <w:rsid w:val="523651A7"/>
    <w:rsid w:val="52507B6B"/>
    <w:rsid w:val="525C4A5B"/>
    <w:rsid w:val="527903F1"/>
    <w:rsid w:val="529665B2"/>
    <w:rsid w:val="52A14B94"/>
    <w:rsid w:val="52A7133D"/>
    <w:rsid w:val="52C47EBC"/>
    <w:rsid w:val="52C9773F"/>
    <w:rsid w:val="52D47674"/>
    <w:rsid w:val="52FD3949"/>
    <w:rsid w:val="530B1EE8"/>
    <w:rsid w:val="53130009"/>
    <w:rsid w:val="531F5759"/>
    <w:rsid w:val="532A0BBA"/>
    <w:rsid w:val="53337BED"/>
    <w:rsid w:val="534A7C9C"/>
    <w:rsid w:val="5367746F"/>
    <w:rsid w:val="5373795A"/>
    <w:rsid w:val="537D15C0"/>
    <w:rsid w:val="53826A29"/>
    <w:rsid w:val="5394098D"/>
    <w:rsid w:val="53963FBE"/>
    <w:rsid w:val="539D5D44"/>
    <w:rsid w:val="53AB2CE1"/>
    <w:rsid w:val="53B01D00"/>
    <w:rsid w:val="53C95B08"/>
    <w:rsid w:val="53CB67C6"/>
    <w:rsid w:val="53D44A45"/>
    <w:rsid w:val="53DD5C53"/>
    <w:rsid w:val="53EA1267"/>
    <w:rsid w:val="53F97642"/>
    <w:rsid w:val="53FB7B09"/>
    <w:rsid w:val="53FF7615"/>
    <w:rsid w:val="541A6361"/>
    <w:rsid w:val="54301AD9"/>
    <w:rsid w:val="54382D8E"/>
    <w:rsid w:val="544C42DE"/>
    <w:rsid w:val="544D3E42"/>
    <w:rsid w:val="54585FC3"/>
    <w:rsid w:val="545A5BB6"/>
    <w:rsid w:val="545B3700"/>
    <w:rsid w:val="54602F5C"/>
    <w:rsid w:val="5461669C"/>
    <w:rsid w:val="54693368"/>
    <w:rsid w:val="546C5762"/>
    <w:rsid w:val="54741DC4"/>
    <w:rsid w:val="547E0386"/>
    <w:rsid w:val="5482287C"/>
    <w:rsid w:val="548855B2"/>
    <w:rsid w:val="548C3AC9"/>
    <w:rsid w:val="5499029F"/>
    <w:rsid w:val="54B91F52"/>
    <w:rsid w:val="54E71C41"/>
    <w:rsid w:val="54EB6143"/>
    <w:rsid w:val="54EF21E0"/>
    <w:rsid w:val="54F46483"/>
    <w:rsid w:val="550E1E7A"/>
    <w:rsid w:val="552625EA"/>
    <w:rsid w:val="552E1545"/>
    <w:rsid w:val="55310E30"/>
    <w:rsid w:val="55381CB7"/>
    <w:rsid w:val="5544382F"/>
    <w:rsid w:val="55477C18"/>
    <w:rsid w:val="555821FD"/>
    <w:rsid w:val="556B034E"/>
    <w:rsid w:val="55895E04"/>
    <w:rsid w:val="55963776"/>
    <w:rsid w:val="55ED12B8"/>
    <w:rsid w:val="56075FBE"/>
    <w:rsid w:val="560E0433"/>
    <w:rsid w:val="5633584C"/>
    <w:rsid w:val="56552922"/>
    <w:rsid w:val="565B536E"/>
    <w:rsid w:val="566F05DF"/>
    <w:rsid w:val="5677162F"/>
    <w:rsid w:val="567C1F7D"/>
    <w:rsid w:val="567E278C"/>
    <w:rsid w:val="568322D7"/>
    <w:rsid w:val="56AD6DCD"/>
    <w:rsid w:val="56C526DD"/>
    <w:rsid w:val="56D26775"/>
    <w:rsid w:val="56E0594F"/>
    <w:rsid w:val="56E24248"/>
    <w:rsid w:val="56E36E3A"/>
    <w:rsid w:val="56EC0A5F"/>
    <w:rsid w:val="57315682"/>
    <w:rsid w:val="574305D6"/>
    <w:rsid w:val="574A38C2"/>
    <w:rsid w:val="57534013"/>
    <w:rsid w:val="57653DBA"/>
    <w:rsid w:val="577D054F"/>
    <w:rsid w:val="57815517"/>
    <w:rsid w:val="578B11DC"/>
    <w:rsid w:val="579153F1"/>
    <w:rsid w:val="57A268BE"/>
    <w:rsid w:val="57A84EC2"/>
    <w:rsid w:val="57B124AE"/>
    <w:rsid w:val="57BA072B"/>
    <w:rsid w:val="57DE1B3D"/>
    <w:rsid w:val="57E339A6"/>
    <w:rsid w:val="57FD19AE"/>
    <w:rsid w:val="58000FAF"/>
    <w:rsid w:val="58063A66"/>
    <w:rsid w:val="583044B6"/>
    <w:rsid w:val="58317046"/>
    <w:rsid w:val="584252D1"/>
    <w:rsid w:val="584772CF"/>
    <w:rsid w:val="58547227"/>
    <w:rsid w:val="58707075"/>
    <w:rsid w:val="587234A7"/>
    <w:rsid w:val="588617AA"/>
    <w:rsid w:val="58920D68"/>
    <w:rsid w:val="58987177"/>
    <w:rsid w:val="58A050F3"/>
    <w:rsid w:val="58BE4E95"/>
    <w:rsid w:val="58CC4662"/>
    <w:rsid w:val="58D05F6E"/>
    <w:rsid w:val="58DE18A6"/>
    <w:rsid w:val="590912B8"/>
    <w:rsid w:val="59151DCD"/>
    <w:rsid w:val="593544AF"/>
    <w:rsid w:val="59387BB8"/>
    <w:rsid w:val="59446868"/>
    <w:rsid w:val="59453EEF"/>
    <w:rsid w:val="59981E91"/>
    <w:rsid w:val="59A2739F"/>
    <w:rsid w:val="59B31584"/>
    <w:rsid w:val="59B97157"/>
    <w:rsid w:val="59C52A4A"/>
    <w:rsid w:val="59D77E7C"/>
    <w:rsid w:val="59DA767C"/>
    <w:rsid w:val="59DE1C65"/>
    <w:rsid w:val="59E81AA0"/>
    <w:rsid w:val="59F75393"/>
    <w:rsid w:val="59F80836"/>
    <w:rsid w:val="59F90EF5"/>
    <w:rsid w:val="5A5C698F"/>
    <w:rsid w:val="5A752A7A"/>
    <w:rsid w:val="5A776034"/>
    <w:rsid w:val="5A8C191A"/>
    <w:rsid w:val="5A931D75"/>
    <w:rsid w:val="5A984BF8"/>
    <w:rsid w:val="5A9A200C"/>
    <w:rsid w:val="5AC52764"/>
    <w:rsid w:val="5AD36F41"/>
    <w:rsid w:val="5AD7741E"/>
    <w:rsid w:val="5B0A2C16"/>
    <w:rsid w:val="5B5850A4"/>
    <w:rsid w:val="5B644B86"/>
    <w:rsid w:val="5B774F6C"/>
    <w:rsid w:val="5B7F1C9B"/>
    <w:rsid w:val="5B862961"/>
    <w:rsid w:val="5BAE14D2"/>
    <w:rsid w:val="5BB95A2B"/>
    <w:rsid w:val="5BD44905"/>
    <w:rsid w:val="5BE6118D"/>
    <w:rsid w:val="5C025AF0"/>
    <w:rsid w:val="5C0525CF"/>
    <w:rsid w:val="5C085AE0"/>
    <w:rsid w:val="5C0B1879"/>
    <w:rsid w:val="5C1145A7"/>
    <w:rsid w:val="5C150788"/>
    <w:rsid w:val="5C834663"/>
    <w:rsid w:val="5C875885"/>
    <w:rsid w:val="5C8A15B6"/>
    <w:rsid w:val="5C9B0C83"/>
    <w:rsid w:val="5C9C557E"/>
    <w:rsid w:val="5CA579B2"/>
    <w:rsid w:val="5CA6504D"/>
    <w:rsid w:val="5CBC7D44"/>
    <w:rsid w:val="5CC25B31"/>
    <w:rsid w:val="5CC53113"/>
    <w:rsid w:val="5CDC6C0F"/>
    <w:rsid w:val="5CF83CCF"/>
    <w:rsid w:val="5D02168F"/>
    <w:rsid w:val="5D0514C1"/>
    <w:rsid w:val="5D14565C"/>
    <w:rsid w:val="5D173119"/>
    <w:rsid w:val="5D2E5A08"/>
    <w:rsid w:val="5D34187C"/>
    <w:rsid w:val="5D4E002C"/>
    <w:rsid w:val="5D5644CB"/>
    <w:rsid w:val="5D571B9F"/>
    <w:rsid w:val="5D62601D"/>
    <w:rsid w:val="5D991F36"/>
    <w:rsid w:val="5DA029AB"/>
    <w:rsid w:val="5DAA2AC0"/>
    <w:rsid w:val="5DBB586A"/>
    <w:rsid w:val="5DDD14C7"/>
    <w:rsid w:val="5DE162CA"/>
    <w:rsid w:val="5DEA7CBE"/>
    <w:rsid w:val="5DEC2B09"/>
    <w:rsid w:val="5DEC33C9"/>
    <w:rsid w:val="5DFA329D"/>
    <w:rsid w:val="5DFD5064"/>
    <w:rsid w:val="5DFD75B1"/>
    <w:rsid w:val="5E162767"/>
    <w:rsid w:val="5E1667E3"/>
    <w:rsid w:val="5E25458C"/>
    <w:rsid w:val="5E2D6C43"/>
    <w:rsid w:val="5E390EA8"/>
    <w:rsid w:val="5E4B3857"/>
    <w:rsid w:val="5E4E3AAB"/>
    <w:rsid w:val="5E522B92"/>
    <w:rsid w:val="5E536E38"/>
    <w:rsid w:val="5E5A1C46"/>
    <w:rsid w:val="5E6210F2"/>
    <w:rsid w:val="5E7F375D"/>
    <w:rsid w:val="5E7F5994"/>
    <w:rsid w:val="5E980234"/>
    <w:rsid w:val="5EA03419"/>
    <w:rsid w:val="5EA7685E"/>
    <w:rsid w:val="5EB109FF"/>
    <w:rsid w:val="5EC44E66"/>
    <w:rsid w:val="5EC5244C"/>
    <w:rsid w:val="5ECF7D68"/>
    <w:rsid w:val="5ED8508E"/>
    <w:rsid w:val="5EE52BFF"/>
    <w:rsid w:val="5EEA7B32"/>
    <w:rsid w:val="5EF23AB1"/>
    <w:rsid w:val="5F04770D"/>
    <w:rsid w:val="5F241C26"/>
    <w:rsid w:val="5F24563D"/>
    <w:rsid w:val="5F3B07E1"/>
    <w:rsid w:val="5F453C73"/>
    <w:rsid w:val="5F757A1A"/>
    <w:rsid w:val="5F7B0D7B"/>
    <w:rsid w:val="5F7E0A26"/>
    <w:rsid w:val="5F805EF7"/>
    <w:rsid w:val="5FA32511"/>
    <w:rsid w:val="5FB40EB5"/>
    <w:rsid w:val="5FB85411"/>
    <w:rsid w:val="5FD962E9"/>
    <w:rsid w:val="5FDC035B"/>
    <w:rsid w:val="5FDE0521"/>
    <w:rsid w:val="5FDE4FBC"/>
    <w:rsid w:val="5FE15388"/>
    <w:rsid w:val="5FE5324C"/>
    <w:rsid w:val="5FEC5F47"/>
    <w:rsid w:val="60035AA1"/>
    <w:rsid w:val="601A7074"/>
    <w:rsid w:val="60271E10"/>
    <w:rsid w:val="60511B4D"/>
    <w:rsid w:val="60550EBB"/>
    <w:rsid w:val="605D6DDA"/>
    <w:rsid w:val="606649F2"/>
    <w:rsid w:val="60777201"/>
    <w:rsid w:val="607843E9"/>
    <w:rsid w:val="608261A6"/>
    <w:rsid w:val="60992495"/>
    <w:rsid w:val="60A048FE"/>
    <w:rsid w:val="60A305B9"/>
    <w:rsid w:val="60BE65F5"/>
    <w:rsid w:val="60EA45C6"/>
    <w:rsid w:val="61113BE5"/>
    <w:rsid w:val="61272C81"/>
    <w:rsid w:val="612D5EB9"/>
    <w:rsid w:val="61315976"/>
    <w:rsid w:val="61371D41"/>
    <w:rsid w:val="613B3087"/>
    <w:rsid w:val="614845F8"/>
    <w:rsid w:val="61684523"/>
    <w:rsid w:val="616E5A45"/>
    <w:rsid w:val="61997B87"/>
    <w:rsid w:val="61D41BB3"/>
    <w:rsid w:val="61EE02C6"/>
    <w:rsid w:val="61FA2666"/>
    <w:rsid w:val="62041A4C"/>
    <w:rsid w:val="621118FA"/>
    <w:rsid w:val="62127BA6"/>
    <w:rsid w:val="6223308D"/>
    <w:rsid w:val="62295ECA"/>
    <w:rsid w:val="62326D61"/>
    <w:rsid w:val="62340492"/>
    <w:rsid w:val="62420298"/>
    <w:rsid w:val="6263631B"/>
    <w:rsid w:val="626C7E27"/>
    <w:rsid w:val="627354B7"/>
    <w:rsid w:val="6285312C"/>
    <w:rsid w:val="6288390B"/>
    <w:rsid w:val="62B77CB6"/>
    <w:rsid w:val="62C41F87"/>
    <w:rsid w:val="62DE4007"/>
    <w:rsid w:val="62E83A3E"/>
    <w:rsid w:val="62FE01AD"/>
    <w:rsid w:val="630F6774"/>
    <w:rsid w:val="631B7B21"/>
    <w:rsid w:val="631F464C"/>
    <w:rsid w:val="63220A6F"/>
    <w:rsid w:val="632659BF"/>
    <w:rsid w:val="63326F97"/>
    <w:rsid w:val="633824DF"/>
    <w:rsid w:val="63461346"/>
    <w:rsid w:val="634A6018"/>
    <w:rsid w:val="63543830"/>
    <w:rsid w:val="63607455"/>
    <w:rsid w:val="636F63A4"/>
    <w:rsid w:val="637415F5"/>
    <w:rsid w:val="637E4AFA"/>
    <w:rsid w:val="63983618"/>
    <w:rsid w:val="63AF15A2"/>
    <w:rsid w:val="63B30D7C"/>
    <w:rsid w:val="63E249E5"/>
    <w:rsid w:val="64023413"/>
    <w:rsid w:val="64170822"/>
    <w:rsid w:val="64253093"/>
    <w:rsid w:val="642B250A"/>
    <w:rsid w:val="64323D6E"/>
    <w:rsid w:val="643C0095"/>
    <w:rsid w:val="644E21D6"/>
    <w:rsid w:val="64537413"/>
    <w:rsid w:val="6466276F"/>
    <w:rsid w:val="6470458F"/>
    <w:rsid w:val="64717861"/>
    <w:rsid w:val="64763626"/>
    <w:rsid w:val="64890F0B"/>
    <w:rsid w:val="649404DA"/>
    <w:rsid w:val="64981808"/>
    <w:rsid w:val="649B54B8"/>
    <w:rsid w:val="649D7C38"/>
    <w:rsid w:val="64B20F1E"/>
    <w:rsid w:val="64B63D17"/>
    <w:rsid w:val="64D170F8"/>
    <w:rsid w:val="64D444C6"/>
    <w:rsid w:val="65034751"/>
    <w:rsid w:val="65047583"/>
    <w:rsid w:val="650619A2"/>
    <w:rsid w:val="65063F94"/>
    <w:rsid w:val="653E6B0B"/>
    <w:rsid w:val="6544188D"/>
    <w:rsid w:val="654C2B74"/>
    <w:rsid w:val="654D0B2A"/>
    <w:rsid w:val="6558020A"/>
    <w:rsid w:val="6580445D"/>
    <w:rsid w:val="65813DD0"/>
    <w:rsid w:val="6592252B"/>
    <w:rsid w:val="65974E6C"/>
    <w:rsid w:val="659A18B6"/>
    <w:rsid w:val="659A1C61"/>
    <w:rsid w:val="659A3188"/>
    <w:rsid w:val="659C0615"/>
    <w:rsid w:val="65A05F72"/>
    <w:rsid w:val="65A843BD"/>
    <w:rsid w:val="65E26CE1"/>
    <w:rsid w:val="65E32D57"/>
    <w:rsid w:val="65ED21BB"/>
    <w:rsid w:val="65FD6F51"/>
    <w:rsid w:val="6602486D"/>
    <w:rsid w:val="66140F0F"/>
    <w:rsid w:val="663B444E"/>
    <w:rsid w:val="665D4BD5"/>
    <w:rsid w:val="66781A45"/>
    <w:rsid w:val="667A755F"/>
    <w:rsid w:val="668747C7"/>
    <w:rsid w:val="668E1D74"/>
    <w:rsid w:val="669E3A50"/>
    <w:rsid w:val="66B27428"/>
    <w:rsid w:val="66CA240D"/>
    <w:rsid w:val="66E3422F"/>
    <w:rsid w:val="671F166D"/>
    <w:rsid w:val="673A3587"/>
    <w:rsid w:val="673F2580"/>
    <w:rsid w:val="67457A6B"/>
    <w:rsid w:val="674F3E54"/>
    <w:rsid w:val="676D25F0"/>
    <w:rsid w:val="67716CF5"/>
    <w:rsid w:val="67806EF2"/>
    <w:rsid w:val="67A75EE7"/>
    <w:rsid w:val="67C41361"/>
    <w:rsid w:val="67CC7D09"/>
    <w:rsid w:val="67D11E59"/>
    <w:rsid w:val="67D27347"/>
    <w:rsid w:val="67D37BBE"/>
    <w:rsid w:val="67DC33AC"/>
    <w:rsid w:val="67EC38AB"/>
    <w:rsid w:val="67F22E6A"/>
    <w:rsid w:val="680E1EE9"/>
    <w:rsid w:val="68246C99"/>
    <w:rsid w:val="682A300D"/>
    <w:rsid w:val="68350DAD"/>
    <w:rsid w:val="68475E86"/>
    <w:rsid w:val="686D34CD"/>
    <w:rsid w:val="688C54A6"/>
    <w:rsid w:val="688C6E47"/>
    <w:rsid w:val="689C6295"/>
    <w:rsid w:val="68A83B33"/>
    <w:rsid w:val="68B3048A"/>
    <w:rsid w:val="68B55443"/>
    <w:rsid w:val="68E92D98"/>
    <w:rsid w:val="69021CD2"/>
    <w:rsid w:val="69256755"/>
    <w:rsid w:val="69312AFB"/>
    <w:rsid w:val="69384A7F"/>
    <w:rsid w:val="693C5CCF"/>
    <w:rsid w:val="695148F5"/>
    <w:rsid w:val="69585573"/>
    <w:rsid w:val="695C6580"/>
    <w:rsid w:val="69CE6FD6"/>
    <w:rsid w:val="69D308F8"/>
    <w:rsid w:val="69D30D57"/>
    <w:rsid w:val="69E07714"/>
    <w:rsid w:val="69E44875"/>
    <w:rsid w:val="69E84282"/>
    <w:rsid w:val="69EB70E8"/>
    <w:rsid w:val="69ED53D9"/>
    <w:rsid w:val="69F60C01"/>
    <w:rsid w:val="6A0A7987"/>
    <w:rsid w:val="6A18131E"/>
    <w:rsid w:val="6A347CCB"/>
    <w:rsid w:val="6A39430C"/>
    <w:rsid w:val="6A3D53A4"/>
    <w:rsid w:val="6A3F2D98"/>
    <w:rsid w:val="6A400387"/>
    <w:rsid w:val="6A4D78A5"/>
    <w:rsid w:val="6A4F2446"/>
    <w:rsid w:val="6A513067"/>
    <w:rsid w:val="6A731E11"/>
    <w:rsid w:val="6A896D3A"/>
    <w:rsid w:val="6A8E4D0D"/>
    <w:rsid w:val="6A97713E"/>
    <w:rsid w:val="6A9779BE"/>
    <w:rsid w:val="6ABE1842"/>
    <w:rsid w:val="6ABE21C2"/>
    <w:rsid w:val="6ABF1867"/>
    <w:rsid w:val="6AC455AD"/>
    <w:rsid w:val="6AEB2458"/>
    <w:rsid w:val="6AF74BF4"/>
    <w:rsid w:val="6B0016D7"/>
    <w:rsid w:val="6B026C10"/>
    <w:rsid w:val="6B1C2C91"/>
    <w:rsid w:val="6B5C2527"/>
    <w:rsid w:val="6B6A1BAD"/>
    <w:rsid w:val="6B906DB6"/>
    <w:rsid w:val="6B932A2B"/>
    <w:rsid w:val="6BB9082D"/>
    <w:rsid w:val="6BC271FD"/>
    <w:rsid w:val="6BD45B00"/>
    <w:rsid w:val="6BE2264A"/>
    <w:rsid w:val="6BEB0FEB"/>
    <w:rsid w:val="6C061128"/>
    <w:rsid w:val="6C116A94"/>
    <w:rsid w:val="6C232EF9"/>
    <w:rsid w:val="6C420D29"/>
    <w:rsid w:val="6C5655F6"/>
    <w:rsid w:val="6C675793"/>
    <w:rsid w:val="6C71142E"/>
    <w:rsid w:val="6C84600F"/>
    <w:rsid w:val="6C877D2C"/>
    <w:rsid w:val="6C8A40D4"/>
    <w:rsid w:val="6C934CC8"/>
    <w:rsid w:val="6CBE3D46"/>
    <w:rsid w:val="6CC368D5"/>
    <w:rsid w:val="6CC96E37"/>
    <w:rsid w:val="6CDC1850"/>
    <w:rsid w:val="6CE102DF"/>
    <w:rsid w:val="6D0F0F97"/>
    <w:rsid w:val="6D201A34"/>
    <w:rsid w:val="6D203941"/>
    <w:rsid w:val="6D612FE7"/>
    <w:rsid w:val="6D7828AF"/>
    <w:rsid w:val="6D826D04"/>
    <w:rsid w:val="6D860F64"/>
    <w:rsid w:val="6D913DA0"/>
    <w:rsid w:val="6DF26575"/>
    <w:rsid w:val="6E0C63D8"/>
    <w:rsid w:val="6E11230F"/>
    <w:rsid w:val="6E2127F1"/>
    <w:rsid w:val="6E2852EF"/>
    <w:rsid w:val="6E2F3128"/>
    <w:rsid w:val="6E335AF1"/>
    <w:rsid w:val="6E344B40"/>
    <w:rsid w:val="6E3B73A7"/>
    <w:rsid w:val="6E664F53"/>
    <w:rsid w:val="6E670BE6"/>
    <w:rsid w:val="6E69252E"/>
    <w:rsid w:val="6E8A7B74"/>
    <w:rsid w:val="6E8F7AC9"/>
    <w:rsid w:val="6EA769A0"/>
    <w:rsid w:val="6EB04A84"/>
    <w:rsid w:val="6EB77D23"/>
    <w:rsid w:val="6EC6272F"/>
    <w:rsid w:val="6ED0639D"/>
    <w:rsid w:val="6ED12937"/>
    <w:rsid w:val="6EDD3BBB"/>
    <w:rsid w:val="6EE73848"/>
    <w:rsid w:val="6EEB4C10"/>
    <w:rsid w:val="6EED1521"/>
    <w:rsid w:val="6EEE3B12"/>
    <w:rsid w:val="6F013F52"/>
    <w:rsid w:val="6F277E48"/>
    <w:rsid w:val="6F740100"/>
    <w:rsid w:val="6F776FAD"/>
    <w:rsid w:val="6F7E4B62"/>
    <w:rsid w:val="6F870116"/>
    <w:rsid w:val="6F88548D"/>
    <w:rsid w:val="6FB00738"/>
    <w:rsid w:val="6FBD07C4"/>
    <w:rsid w:val="6FBF79BC"/>
    <w:rsid w:val="6FC51DF5"/>
    <w:rsid w:val="6FC72DE6"/>
    <w:rsid w:val="6FCD520E"/>
    <w:rsid w:val="6FD075F1"/>
    <w:rsid w:val="6FD4315F"/>
    <w:rsid w:val="6FE84113"/>
    <w:rsid w:val="6FEB73D1"/>
    <w:rsid w:val="6FF94019"/>
    <w:rsid w:val="7010251D"/>
    <w:rsid w:val="7016698D"/>
    <w:rsid w:val="701806F8"/>
    <w:rsid w:val="702638ED"/>
    <w:rsid w:val="702A5A86"/>
    <w:rsid w:val="704B1C26"/>
    <w:rsid w:val="707A1881"/>
    <w:rsid w:val="708C2B39"/>
    <w:rsid w:val="709C4D8D"/>
    <w:rsid w:val="70A049F0"/>
    <w:rsid w:val="70BE22FF"/>
    <w:rsid w:val="70BE326B"/>
    <w:rsid w:val="70C37368"/>
    <w:rsid w:val="70D72746"/>
    <w:rsid w:val="70DD2798"/>
    <w:rsid w:val="70E767EE"/>
    <w:rsid w:val="70F711E9"/>
    <w:rsid w:val="71040E46"/>
    <w:rsid w:val="71112337"/>
    <w:rsid w:val="714A1E25"/>
    <w:rsid w:val="714E62B8"/>
    <w:rsid w:val="7171040D"/>
    <w:rsid w:val="717529A0"/>
    <w:rsid w:val="71B21C9B"/>
    <w:rsid w:val="71C045F0"/>
    <w:rsid w:val="71F825E1"/>
    <w:rsid w:val="7212345E"/>
    <w:rsid w:val="721C5D13"/>
    <w:rsid w:val="721F6F44"/>
    <w:rsid w:val="72257B0A"/>
    <w:rsid w:val="7229176E"/>
    <w:rsid w:val="722D39E8"/>
    <w:rsid w:val="722F1422"/>
    <w:rsid w:val="72544F3F"/>
    <w:rsid w:val="726B16FE"/>
    <w:rsid w:val="728D5CFB"/>
    <w:rsid w:val="72930CCE"/>
    <w:rsid w:val="72963A50"/>
    <w:rsid w:val="72991946"/>
    <w:rsid w:val="72A63135"/>
    <w:rsid w:val="72AF6A83"/>
    <w:rsid w:val="72B604CA"/>
    <w:rsid w:val="72BA4BA9"/>
    <w:rsid w:val="72BC0129"/>
    <w:rsid w:val="72BF018C"/>
    <w:rsid w:val="72C252BC"/>
    <w:rsid w:val="72C5797D"/>
    <w:rsid w:val="72C75FEB"/>
    <w:rsid w:val="72EC65FF"/>
    <w:rsid w:val="72FA5CD0"/>
    <w:rsid w:val="731216C1"/>
    <w:rsid w:val="731228B2"/>
    <w:rsid w:val="7320550A"/>
    <w:rsid w:val="73245BE1"/>
    <w:rsid w:val="732F6A76"/>
    <w:rsid w:val="73301EC1"/>
    <w:rsid w:val="73467DC5"/>
    <w:rsid w:val="73522E46"/>
    <w:rsid w:val="73610273"/>
    <w:rsid w:val="7371161D"/>
    <w:rsid w:val="73840862"/>
    <w:rsid w:val="738C31DF"/>
    <w:rsid w:val="738D5145"/>
    <w:rsid w:val="73933279"/>
    <w:rsid w:val="73A30775"/>
    <w:rsid w:val="73C42FDF"/>
    <w:rsid w:val="73C947E1"/>
    <w:rsid w:val="73CA1AA5"/>
    <w:rsid w:val="73CC0BC1"/>
    <w:rsid w:val="73D50756"/>
    <w:rsid w:val="73D757BE"/>
    <w:rsid w:val="73E45F0E"/>
    <w:rsid w:val="740A3CEF"/>
    <w:rsid w:val="74112152"/>
    <w:rsid w:val="7424051E"/>
    <w:rsid w:val="74450618"/>
    <w:rsid w:val="74506482"/>
    <w:rsid w:val="74517E94"/>
    <w:rsid w:val="745F766B"/>
    <w:rsid w:val="747E404C"/>
    <w:rsid w:val="74D240AA"/>
    <w:rsid w:val="74E40AC9"/>
    <w:rsid w:val="74E91C52"/>
    <w:rsid w:val="74FF6178"/>
    <w:rsid w:val="750465BA"/>
    <w:rsid w:val="75105EFE"/>
    <w:rsid w:val="75110C09"/>
    <w:rsid w:val="751C2C68"/>
    <w:rsid w:val="751C71B1"/>
    <w:rsid w:val="75324701"/>
    <w:rsid w:val="75431DC5"/>
    <w:rsid w:val="7546067E"/>
    <w:rsid w:val="755A378F"/>
    <w:rsid w:val="757D1E2B"/>
    <w:rsid w:val="75971B5F"/>
    <w:rsid w:val="759963A6"/>
    <w:rsid w:val="75A92E8D"/>
    <w:rsid w:val="75BB7546"/>
    <w:rsid w:val="75C1620E"/>
    <w:rsid w:val="75D109A0"/>
    <w:rsid w:val="75D51A65"/>
    <w:rsid w:val="75D64535"/>
    <w:rsid w:val="75DE2C00"/>
    <w:rsid w:val="760100A3"/>
    <w:rsid w:val="76123D50"/>
    <w:rsid w:val="761E41FD"/>
    <w:rsid w:val="761F5B76"/>
    <w:rsid w:val="762E132F"/>
    <w:rsid w:val="762F4A15"/>
    <w:rsid w:val="76360B81"/>
    <w:rsid w:val="763E2BC2"/>
    <w:rsid w:val="764E434F"/>
    <w:rsid w:val="765372E6"/>
    <w:rsid w:val="766B52CA"/>
    <w:rsid w:val="767205E1"/>
    <w:rsid w:val="767F704C"/>
    <w:rsid w:val="767F7E6B"/>
    <w:rsid w:val="76803590"/>
    <w:rsid w:val="768B2CE5"/>
    <w:rsid w:val="76975FC7"/>
    <w:rsid w:val="76A4589B"/>
    <w:rsid w:val="76A508F7"/>
    <w:rsid w:val="76BD4366"/>
    <w:rsid w:val="76C42BC4"/>
    <w:rsid w:val="76C94A3F"/>
    <w:rsid w:val="76E651E5"/>
    <w:rsid w:val="76EA0320"/>
    <w:rsid w:val="772D62B0"/>
    <w:rsid w:val="773133B5"/>
    <w:rsid w:val="773450E9"/>
    <w:rsid w:val="773A634F"/>
    <w:rsid w:val="77401179"/>
    <w:rsid w:val="775B2CDE"/>
    <w:rsid w:val="777001D6"/>
    <w:rsid w:val="7774279F"/>
    <w:rsid w:val="777A44A1"/>
    <w:rsid w:val="77857473"/>
    <w:rsid w:val="77871B3F"/>
    <w:rsid w:val="778C1E8A"/>
    <w:rsid w:val="77900594"/>
    <w:rsid w:val="77971B82"/>
    <w:rsid w:val="77A01B3B"/>
    <w:rsid w:val="77A43C50"/>
    <w:rsid w:val="77B47998"/>
    <w:rsid w:val="77B71444"/>
    <w:rsid w:val="77C4691E"/>
    <w:rsid w:val="77C4737E"/>
    <w:rsid w:val="77CF4919"/>
    <w:rsid w:val="77D95D8F"/>
    <w:rsid w:val="77DF4843"/>
    <w:rsid w:val="77E53094"/>
    <w:rsid w:val="77EC6C04"/>
    <w:rsid w:val="77FF28E6"/>
    <w:rsid w:val="78081737"/>
    <w:rsid w:val="780A11BB"/>
    <w:rsid w:val="781068EA"/>
    <w:rsid w:val="781B5C30"/>
    <w:rsid w:val="781F11A1"/>
    <w:rsid w:val="78200129"/>
    <w:rsid w:val="784A38B5"/>
    <w:rsid w:val="786F7C3A"/>
    <w:rsid w:val="7875360A"/>
    <w:rsid w:val="787F52DB"/>
    <w:rsid w:val="78A12E74"/>
    <w:rsid w:val="78AD0CB8"/>
    <w:rsid w:val="78C51451"/>
    <w:rsid w:val="78F000F7"/>
    <w:rsid w:val="79305C6F"/>
    <w:rsid w:val="79462C91"/>
    <w:rsid w:val="79540B2E"/>
    <w:rsid w:val="796D0468"/>
    <w:rsid w:val="797E3EA3"/>
    <w:rsid w:val="798F1B27"/>
    <w:rsid w:val="799C0660"/>
    <w:rsid w:val="79A123D1"/>
    <w:rsid w:val="79E13893"/>
    <w:rsid w:val="79FF5ED5"/>
    <w:rsid w:val="7A0635A3"/>
    <w:rsid w:val="7A076071"/>
    <w:rsid w:val="7A1A1642"/>
    <w:rsid w:val="7A2056F6"/>
    <w:rsid w:val="7A2B23D5"/>
    <w:rsid w:val="7A2F7BF4"/>
    <w:rsid w:val="7A3D5CD4"/>
    <w:rsid w:val="7A480565"/>
    <w:rsid w:val="7A645703"/>
    <w:rsid w:val="7A7A3515"/>
    <w:rsid w:val="7A7B1537"/>
    <w:rsid w:val="7A825AA9"/>
    <w:rsid w:val="7A8A1E47"/>
    <w:rsid w:val="7A98337A"/>
    <w:rsid w:val="7A9E7DF7"/>
    <w:rsid w:val="7AA67F02"/>
    <w:rsid w:val="7ACD7BC6"/>
    <w:rsid w:val="7AE34517"/>
    <w:rsid w:val="7AF94BE4"/>
    <w:rsid w:val="7B095B8D"/>
    <w:rsid w:val="7B274A1E"/>
    <w:rsid w:val="7B337BB9"/>
    <w:rsid w:val="7B3A6421"/>
    <w:rsid w:val="7B51173E"/>
    <w:rsid w:val="7B614DCB"/>
    <w:rsid w:val="7B6440EE"/>
    <w:rsid w:val="7B6832D1"/>
    <w:rsid w:val="7B690D2B"/>
    <w:rsid w:val="7B6E164A"/>
    <w:rsid w:val="7B6E28B1"/>
    <w:rsid w:val="7B7912AA"/>
    <w:rsid w:val="7B793B17"/>
    <w:rsid w:val="7B7E74C6"/>
    <w:rsid w:val="7BDE3E94"/>
    <w:rsid w:val="7BE30671"/>
    <w:rsid w:val="7BE95428"/>
    <w:rsid w:val="7BEB734F"/>
    <w:rsid w:val="7BF1388C"/>
    <w:rsid w:val="7C0D412F"/>
    <w:rsid w:val="7C247CB8"/>
    <w:rsid w:val="7C2A4687"/>
    <w:rsid w:val="7C314A05"/>
    <w:rsid w:val="7C344D04"/>
    <w:rsid w:val="7C406421"/>
    <w:rsid w:val="7C48189B"/>
    <w:rsid w:val="7C5946E5"/>
    <w:rsid w:val="7C6065E2"/>
    <w:rsid w:val="7C89209D"/>
    <w:rsid w:val="7C8C268E"/>
    <w:rsid w:val="7C947813"/>
    <w:rsid w:val="7CA8091C"/>
    <w:rsid w:val="7CAD1BD0"/>
    <w:rsid w:val="7CB55156"/>
    <w:rsid w:val="7CC21350"/>
    <w:rsid w:val="7CD13489"/>
    <w:rsid w:val="7CDC73B5"/>
    <w:rsid w:val="7CDE5E02"/>
    <w:rsid w:val="7CE573D6"/>
    <w:rsid w:val="7CF82F13"/>
    <w:rsid w:val="7CFD0EFA"/>
    <w:rsid w:val="7D057D70"/>
    <w:rsid w:val="7D071357"/>
    <w:rsid w:val="7D45291B"/>
    <w:rsid w:val="7D826860"/>
    <w:rsid w:val="7D8B31F0"/>
    <w:rsid w:val="7D960F0C"/>
    <w:rsid w:val="7D964F3A"/>
    <w:rsid w:val="7D9B5DEB"/>
    <w:rsid w:val="7DAF457F"/>
    <w:rsid w:val="7DB51472"/>
    <w:rsid w:val="7DBC290A"/>
    <w:rsid w:val="7DD21311"/>
    <w:rsid w:val="7DD8580E"/>
    <w:rsid w:val="7DD945AA"/>
    <w:rsid w:val="7DDF286A"/>
    <w:rsid w:val="7DE67E19"/>
    <w:rsid w:val="7DE76611"/>
    <w:rsid w:val="7E1F0A3E"/>
    <w:rsid w:val="7E28775F"/>
    <w:rsid w:val="7E433CFE"/>
    <w:rsid w:val="7E4F1B13"/>
    <w:rsid w:val="7E59078F"/>
    <w:rsid w:val="7E592FEC"/>
    <w:rsid w:val="7E5D5005"/>
    <w:rsid w:val="7E6C17BF"/>
    <w:rsid w:val="7E865D6A"/>
    <w:rsid w:val="7E911815"/>
    <w:rsid w:val="7E946199"/>
    <w:rsid w:val="7EA82498"/>
    <w:rsid w:val="7EAA0D7B"/>
    <w:rsid w:val="7EF03F0E"/>
    <w:rsid w:val="7F031122"/>
    <w:rsid w:val="7F0743AC"/>
    <w:rsid w:val="7F0F55AF"/>
    <w:rsid w:val="7F1973BA"/>
    <w:rsid w:val="7F280F79"/>
    <w:rsid w:val="7F2C351E"/>
    <w:rsid w:val="7F2C5AC9"/>
    <w:rsid w:val="7F2D26AC"/>
    <w:rsid w:val="7F3C0B7B"/>
    <w:rsid w:val="7F3C5D88"/>
    <w:rsid w:val="7F697E6F"/>
    <w:rsid w:val="7F6E7BA7"/>
    <w:rsid w:val="7F8B6071"/>
    <w:rsid w:val="7F94790B"/>
    <w:rsid w:val="7F9A3928"/>
    <w:rsid w:val="7FA43E05"/>
    <w:rsid w:val="7FA67E51"/>
    <w:rsid w:val="7FB65709"/>
    <w:rsid w:val="7FBE699B"/>
    <w:rsid w:val="7FCA5A1A"/>
    <w:rsid w:val="7FD75CDD"/>
    <w:rsid w:val="7FE3275E"/>
    <w:rsid w:val="7FED1725"/>
    <w:rsid w:val="7FEE5B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uiPriority="99" w:name="footnote text" w:locked="1"/>
    <w:lsdException w:qFormat="1" w:unhideWhenUsed="0" w:uiPriority="0"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99" w:semiHidden="0"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iPriority="0" w:semiHidden="0"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semiHidden="0"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86"/>
    <w:qFormat/>
    <w:uiPriority w:val="99"/>
    <w:pPr>
      <w:keepNext/>
      <w:keepLines/>
      <w:spacing w:before="340" w:after="330"/>
      <w:ind w:firstLine="0" w:firstLineChars="0"/>
      <w:jc w:val="center"/>
      <w:outlineLvl w:val="0"/>
    </w:pPr>
    <w:rPr>
      <w:rFonts w:ascii="宋体" w:hAnsi="宋体"/>
      <w:b/>
      <w:bCs/>
      <w:kern w:val="44"/>
      <w:sz w:val="44"/>
      <w:szCs w:val="44"/>
    </w:rPr>
  </w:style>
  <w:style w:type="paragraph" w:styleId="4">
    <w:name w:val="heading 2"/>
    <w:basedOn w:val="1"/>
    <w:next w:val="1"/>
    <w:link w:val="90"/>
    <w:qFormat/>
    <w:uiPriority w:val="99"/>
    <w:pPr>
      <w:keepNext/>
      <w:keepLines/>
      <w:spacing w:before="260" w:after="260"/>
      <w:ind w:firstLine="0" w:firstLineChars="0"/>
      <w:jc w:val="center"/>
      <w:outlineLvl w:val="1"/>
    </w:pPr>
    <w:rPr>
      <w:rFonts w:ascii="Cambria" w:hAnsi="Cambria"/>
      <w:b/>
      <w:bCs/>
      <w:kern w:val="0"/>
      <w:sz w:val="32"/>
      <w:szCs w:val="32"/>
    </w:rPr>
  </w:style>
  <w:style w:type="paragraph" w:styleId="5">
    <w:name w:val="heading 3"/>
    <w:basedOn w:val="1"/>
    <w:next w:val="6"/>
    <w:link w:val="91"/>
    <w:qFormat/>
    <w:uiPriority w:val="99"/>
    <w:pPr>
      <w:keepNext/>
      <w:keepLines/>
      <w:spacing w:before="260" w:after="260"/>
      <w:ind w:firstLine="0" w:firstLineChars="0"/>
      <w:jc w:val="center"/>
      <w:outlineLvl w:val="2"/>
    </w:pPr>
    <w:rPr>
      <w:rFonts w:ascii="宋体" w:hAnsi="宋体"/>
      <w:b/>
      <w:bCs/>
      <w:kern w:val="0"/>
      <w:sz w:val="28"/>
      <w:szCs w:val="28"/>
    </w:rPr>
  </w:style>
  <w:style w:type="paragraph" w:styleId="7">
    <w:name w:val="heading 4"/>
    <w:basedOn w:val="1"/>
    <w:next w:val="1"/>
    <w:link w:val="81"/>
    <w:qFormat/>
    <w:uiPriority w:val="99"/>
    <w:pPr>
      <w:keepNext/>
      <w:keepLines/>
      <w:spacing w:before="280" w:after="290"/>
      <w:ind w:firstLine="0" w:firstLineChars="0"/>
      <w:outlineLvl w:val="3"/>
    </w:pPr>
    <w:rPr>
      <w:rFonts w:ascii="宋体"/>
      <w:b/>
      <w:bCs/>
      <w:kern w:val="0"/>
      <w:sz w:val="24"/>
      <w:szCs w:val="24"/>
    </w:rPr>
  </w:style>
  <w:style w:type="paragraph" w:styleId="8">
    <w:name w:val="heading 5"/>
    <w:basedOn w:val="1"/>
    <w:next w:val="1"/>
    <w:link w:val="88"/>
    <w:qFormat/>
    <w:uiPriority w:val="99"/>
    <w:pPr>
      <w:keepNext/>
      <w:keepLines/>
      <w:spacing w:before="280" w:after="290"/>
      <w:ind w:firstLine="0" w:firstLineChars="0"/>
      <w:outlineLvl w:val="4"/>
    </w:pPr>
    <w:rPr>
      <w:rFonts w:ascii="宋体"/>
      <w:b/>
      <w:bCs/>
      <w:kern w:val="0"/>
      <w:szCs w:val="21"/>
    </w:rPr>
  </w:style>
  <w:style w:type="character" w:default="1" w:styleId="32">
    <w:name w:val="Default Paragraph Font"/>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jc w:val="left"/>
    </w:pPr>
    <w:rPr>
      <w:rFonts w:ascii="宋体" w:hAnsi="宋体"/>
      <w:sz w:val="24"/>
    </w:rPr>
  </w:style>
  <w:style w:type="paragraph" w:styleId="6">
    <w:name w:val="Normal Indent"/>
    <w:basedOn w:val="1"/>
    <w:qFormat/>
    <w:uiPriority w:val="0"/>
    <w:rPr>
      <w:b/>
      <w:sz w:val="24"/>
      <w:szCs w:val="20"/>
    </w:rPr>
  </w:style>
  <w:style w:type="paragraph" w:styleId="9">
    <w:name w:val="toc 7"/>
    <w:basedOn w:val="1"/>
    <w:next w:val="1"/>
    <w:qFormat/>
    <w:uiPriority w:val="99"/>
    <w:pPr>
      <w:ind w:left="2520" w:leftChars="1200" w:firstLine="0" w:firstLineChars="0"/>
    </w:pPr>
  </w:style>
  <w:style w:type="paragraph" w:styleId="10">
    <w:name w:val="annotation text"/>
    <w:basedOn w:val="1"/>
    <w:qFormat/>
    <w:locked/>
    <w:uiPriority w:val="0"/>
    <w:pPr>
      <w:ind w:firstLine="0" w:firstLineChars="0"/>
      <w:jc w:val="left"/>
    </w:pPr>
    <w:rPr>
      <w:rFonts w:ascii="Calibri" w:hAnsi="Calibri" w:eastAsia="宋体" w:cs="Times New Roman"/>
      <w:kern w:val="0"/>
      <w:sz w:val="20"/>
      <w:szCs w:val="20"/>
    </w:rPr>
  </w:style>
  <w:style w:type="paragraph" w:styleId="11">
    <w:name w:val="Body Text"/>
    <w:basedOn w:val="1"/>
    <w:link w:val="87"/>
    <w:qFormat/>
    <w:uiPriority w:val="99"/>
    <w:pPr>
      <w:ind w:left="100" w:firstLine="0" w:firstLineChars="0"/>
      <w:jc w:val="left"/>
    </w:pPr>
    <w:rPr>
      <w:kern w:val="0"/>
      <w:sz w:val="20"/>
      <w:szCs w:val="20"/>
    </w:rPr>
  </w:style>
  <w:style w:type="paragraph" w:styleId="12">
    <w:name w:val="Body Text Indent"/>
    <w:basedOn w:val="1"/>
    <w:qFormat/>
    <w:locked/>
    <w:uiPriority w:val="0"/>
    <w:pPr>
      <w:spacing w:after="120"/>
      <w:ind w:left="420" w:leftChars="200"/>
    </w:pPr>
  </w:style>
  <w:style w:type="paragraph" w:styleId="13">
    <w:name w:val="toc 5"/>
    <w:basedOn w:val="1"/>
    <w:next w:val="1"/>
    <w:qFormat/>
    <w:uiPriority w:val="99"/>
    <w:pPr>
      <w:ind w:left="1680" w:leftChars="800"/>
    </w:pPr>
  </w:style>
  <w:style w:type="paragraph" w:styleId="14">
    <w:name w:val="toc 3"/>
    <w:basedOn w:val="1"/>
    <w:next w:val="1"/>
    <w:qFormat/>
    <w:uiPriority w:val="39"/>
    <w:pPr>
      <w:ind w:left="840" w:leftChars="400"/>
    </w:pPr>
  </w:style>
  <w:style w:type="paragraph" w:styleId="15">
    <w:name w:val="Plain Text"/>
    <w:basedOn w:val="1"/>
    <w:link w:val="83"/>
    <w:qFormat/>
    <w:uiPriority w:val="99"/>
    <w:rPr>
      <w:rFonts w:ascii="宋体" w:hAnsi="Courier New"/>
      <w:kern w:val="0"/>
      <w:szCs w:val="21"/>
    </w:rPr>
  </w:style>
  <w:style w:type="paragraph" w:styleId="16">
    <w:name w:val="toc 8"/>
    <w:basedOn w:val="1"/>
    <w:next w:val="1"/>
    <w:qFormat/>
    <w:uiPriority w:val="99"/>
    <w:pPr>
      <w:ind w:left="2940" w:leftChars="1400" w:firstLine="0" w:firstLineChars="0"/>
    </w:pPr>
  </w:style>
  <w:style w:type="paragraph" w:styleId="17">
    <w:name w:val="Date"/>
    <w:basedOn w:val="1"/>
    <w:next w:val="1"/>
    <w:unhideWhenUsed/>
    <w:qFormat/>
    <w:locked/>
    <w:uiPriority w:val="0"/>
  </w:style>
  <w:style w:type="paragraph" w:styleId="18">
    <w:name w:val="Body Text Indent 2"/>
    <w:basedOn w:val="1"/>
    <w:link w:val="97"/>
    <w:qFormat/>
    <w:uiPriority w:val="99"/>
    <w:pPr>
      <w:spacing w:after="120" w:line="480" w:lineRule="auto"/>
      <w:ind w:left="420" w:leftChars="200" w:firstLine="0" w:firstLineChars="0"/>
      <w:jc w:val="left"/>
    </w:pPr>
    <w:rPr>
      <w:kern w:val="0"/>
      <w:sz w:val="20"/>
      <w:szCs w:val="20"/>
    </w:rPr>
  </w:style>
  <w:style w:type="paragraph" w:styleId="19">
    <w:name w:val="Balloon Text"/>
    <w:basedOn w:val="1"/>
    <w:link w:val="82"/>
    <w:semiHidden/>
    <w:qFormat/>
    <w:uiPriority w:val="99"/>
    <w:rPr>
      <w:kern w:val="0"/>
      <w:sz w:val="18"/>
      <w:szCs w:val="18"/>
    </w:rPr>
  </w:style>
  <w:style w:type="paragraph" w:styleId="20">
    <w:name w:val="footer"/>
    <w:basedOn w:val="1"/>
    <w:link w:val="85"/>
    <w:qFormat/>
    <w:uiPriority w:val="99"/>
    <w:pPr>
      <w:tabs>
        <w:tab w:val="center" w:pos="4153"/>
        <w:tab w:val="right" w:pos="8306"/>
      </w:tabs>
      <w:snapToGrid w:val="0"/>
      <w:jc w:val="left"/>
    </w:pPr>
    <w:rPr>
      <w:kern w:val="0"/>
      <w:sz w:val="18"/>
      <w:szCs w:val="18"/>
    </w:rPr>
  </w:style>
  <w:style w:type="paragraph" w:styleId="21">
    <w:name w:val="header"/>
    <w:basedOn w:val="1"/>
    <w:link w:val="93"/>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qFormat/>
    <w:uiPriority w:val="39"/>
  </w:style>
  <w:style w:type="paragraph" w:styleId="23">
    <w:name w:val="toc 4"/>
    <w:basedOn w:val="1"/>
    <w:next w:val="1"/>
    <w:qFormat/>
    <w:uiPriority w:val="99"/>
    <w:pPr>
      <w:ind w:left="1260" w:leftChars="600"/>
    </w:pPr>
  </w:style>
  <w:style w:type="paragraph" w:styleId="24">
    <w:name w:val="toc 6"/>
    <w:basedOn w:val="1"/>
    <w:next w:val="1"/>
    <w:qFormat/>
    <w:uiPriority w:val="99"/>
    <w:pPr>
      <w:ind w:left="2100" w:leftChars="1000" w:firstLine="0" w:firstLineChars="0"/>
    </w:pPr>
  </w:style>
  <w:style w:type="paragraph" w:styleId="25">
    <w:name w:val="toc 2"/>
    <w:basedOn w:val="1"/>
    <w:next w:val="1"/>
    <w:qFormat/>
    <w:uiPriority w:val="39"/>
    <w:pPr>
      <w:ind w:left="420" w:leftChars="200"/>
    </w:pPr>
  </w:style>
  <w:style w:type="paragraph" w:styleId="26">
    <w:name w:val="toc 9"/>
    <w:basedOn w:val="1"/>
    <w:next w:val="1"/>
    <w:qFormat/>
    <w:uiPriority w:val="99"/>
    <w:pPr>
      <w:ind w:left="3360" w:leftChars="1600" w:firstLine="0" w:firstLineChars="0"/>
    </w:pPr>
  </w:style>
  <w:style w:type="paragraph" w:styleId="27">
    <w:name w:val="HTML Preformatted"/>
    <w:basedOn w:val="1"/>
    <w:unhideWhenUsed/>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8">
    <w:name w:val="Normal (Web)"/>
    <w:basedOn w:val="1"/>
    <w:qFormat/>
    <w:locked/>
    <w:uiPriority w:val="99"/>
    <w:pPr>
      <w:widowControl/>
      <w:spacing w:before="100" w:beforeAutospacing="1" w:after="100" w:afterAutospacing="1"/>
      <w:jc w:val="left"/>
    </w:pPr>
    <w:rPr>
      <w:rFonts w:ascii="宋体" w:hAnsi="宋体"/>
      <w:color w:val="000000"/>
      <w:kern w:val="0"/>
      <w:sz w:val="24"/>
      <w:szCs w:val="24"/>
    </w:rPr>
  </w:style>
  <w:style w:type="paragraph" w:styleId="29">
    <w:name w:val="Body Text First Indent 2"/>
    <w:basedOn w:val="12"/>
    <w:qFormat/>
    <w:locked/>
    <w:uiPriority w:val="0"/>
    <w:pPr>
      <w:ind w:firstLine="420" w:firstLineChars="200"/>
    </w:pPr>
  </w:style>
  <w:style w:type="table" w:styleId="31">
    <w:name w:val="Table Grid"/>
    <w:basedOn w:val="30"/>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locked/>
    <w:uiPriority w:val="0"/>
  </w:style>
  <w:style w:type="character" w:styleId="34">
    <w:name w:val="Hyperlink"/>
    <w:qFormat/>
    <w:uiPriority w:val="99"/>
    <w:rPr>
      <w:rFonts w:cs="Times New Roman"/>
      <w:color w:val="0000FF"/>
      <w:u w:val="single"/>
    </w:rPr>
  </w:style>
  <w:style w:type="character" w:styleId="35">
    <w:name w:val="annotation reference"/>
    <w:unhideWhenUsed/>
    <w:qFormat/>
    <w:locked/>
    <w:uiPriority w:val="99"/>
    <w:rPr>
      <w:sz w:val="21"/>
      <w:szCs w:val="21"/>
    </w:rPr>
  </w:style>
  <w:style w:type="paragraph" w:customStyle="1" w:styleId="36">
    <w:name w:val="TOC 标题1"/>
    <w:basedOn w:val="3"/>
    <w:next w:val="1"/>
    <w:semiHidden/>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7">
    <w:name w:val="Normal_6"/>
    <w:qFormat/>
    <w:uiPriority w:val="0"/>
    <w:rPr>
      <w:rFonts w:ascii="黑体" w:hAnsi="黑体" w:eastAsia="黑体" w:cs="Times New Roman"/>
      <w:b/>
      <w:sz w:val="32"/>
      <w:szCs w:val="24"/>
      <w:lang w:val="en-US" w:eastAsia="zh-CN" w:bidi="ar-SA"/>
    </w:rPr>
  </w:style>
  <w:style w:type="paragraph" w:customStyle="1" w:styleId="38">
    <w:name w:val="标题 3_0"/>
    <w:basedOn w:val="39"/>
    <w:next w:val="39"/>
    <w:qFormat/>
    <w:uiPriority w:val="0"/>
    <w:pPr>
      <w:keepNext/>
      <w:keepLines/>
      <w:spacing w:before="260" w:after="260" w:line="413" w:lineRule="auto"/>
      <w:outlineLvl w:val="2"/>
    </w:pPr>
    <w:rPr>
      <w:rFonts w:ascii="Times New Roman" w:hAnsi="Times New Roman"/>
      <w:b/>
      <w:sz w:val="32"/>
    </w:rPr>
  </w:style>
  <w:style w:type="paragraph" w:customStyle="1" w:styleId="39">
    <w:name w:val="正文_0"/>
    <w:qFormat/>
    <w:uiPriority w:val="0"/>
    <w:pPr>
      <w:widowControl w:val="0"/>
      <w:jc w:val="both"/>
    </w:pPr>
    <w:rPr>
      <w:rFonts w:ascii="Calibri" w:hAnsi="Calibri" w:eastAsia="宋体" w:cs="Times New Roman"/>
      <w:lang w:val="en-US" w:eastAsia="zh-CN" w:bidi="ar-SA"/>
    </w:rPr>
  </w:style>
  <w:style w:type="paragraph" w:customStyle="1" w:styleId="40">
    <w:name w:val="Default"/>
    <w:qFormat/>
    <w:uiPriority w:val="99"/>
    <w:pPr>
      <w:autoSpaceDE w:val="0"/>
      <w:autoSpaceDN w:val="0"/>
      <w:adjustRightInd w:val="0"/>
    </w:pPr>
    <w:rPr>
      <w:rFonts w:ascii="宋体" w:hAnsi="Times New Roman" w:eastAsia="宋体" w:cs="Times New Roman"/>
      <w:color w:val="000000"/>
      <w:sz w:val="24"/>
      <w:szCs w:val="24"/>
      <w:lang w:val="en-US" w:eastAsia="en-US" w:bidi="ar-SA"/>
    </w:rPr>
  </w:style>
  <w:style w:type="paragraph" w:customStyle="1" w:styleId="41">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2">
    <w:name w:val="No Spacing"/>
    <w:qFormat/>
    <w:uiPriority w:val="99"/>
    <w:pPr>
      <w:widowControl w:val="0"/>
      <w:jc w:val="both"/>
    </w:pPr>
    <w:rPr>
      <w:rFonts w:ascii="Times New Roman" w:hAnsi="Times New Roman" w:eastAsia="宋体" w:cs="Times New Roman"/>
      <w:kern w:val="2"/>
      <w:sz w:val="28"/>
      <w:szCs w:val="22"/>
      <w:lang w:val="en-US" w:eastAsia="zh-CN" w:bidi="ar-SA"/>
    </w:rPr>
  </w:style>
  <w:style w:type="paragraph" w:customStyle="1" w:styleId="43">
    <w:name w:val="正文_1"/>
    <w:qFormat/>
    <w:uiPriority w:val="99"/>
    <w:pPr>
      <w:widowControl w:val="0"/>
      <w:jc w:val="both"/>
    </w:pPr>
    <w:rPr>
      <w:rFonts w:ascii="Times New Roman" w:hAnsi="Times New Roman" w:eastAsia="宋体" w:cs="Times New Roman"/>
      <w:sz w:val="24"/>
      <w:lang w:val="en-US" w:eastAsia="zh-CN" w:bidi="ar-SA"/>
    </w:rPr>
  </w:style>
  <w:style w:type="paragraph" w:customStyle="1" w:styleId="44">
    <w:name w:val="标题 2_0"/>
    <w:basedOn w:val="45"/>
    <w:next w:val="45"/>
    <w:qFormat/>
    <w:uiPriority w:val="0"/>
    <w:pPr>
      <w:keepNext/>
      <w:keepLines/>
      <w:spacing w:before="260" w:after="260" w:line="413" w:lineRule="auto"/>
      <w:outlineLvl w:val="1"/>
    </w:pPr>
    <w:rPr>
      <w:rFonts w:ascii="Arial" w:hAnsi="Arial" w:eastAsia="黑体"/>
      <w:b/>
      <w:sz w:val="32"/>
    </w:rPr>
  </w:style>
  <w:style w:type="paragraph" w:customStyle="1" w:styleId="45">
    <w:name w:val="正文_2"/>
    <w:qFormat/>
    <w:uiPriority w:val="0"/>
    <w:pPr>
      <w:widowControl w:val="0"/>
      <w:jc w:val="both"/>
    </w:pPr>
    <w:rPr>
      <w:rFonts w:ascii="Calibri" w:hAnsi="Calibri" w:eastAsia="宋体" w:cs="Times New Roman"/>
      <w:lang w:val="en-US" w:eastAsia="zh-CN" w:bidi="ar-SA"/>
    </w:rPr>
  </w:style>
  <w:style w:type="paragraph" w:customStyle="1" w:styleId="46">
    <w:name w:val="普通(网站)_0"/>
    <w:basedOn w:val="43"/>
    <w:qFormat/>
    <w:uiPriority w:val="99"/>
    <w:pPr>
      <w:spacing w:before="100" w:beforeAutospacing="1" w:after="100" w:afterAutospacing="1"/>
      <w:jc w:val="left"/>
    </w:pPr>
  </w:style>
  <w:style w:type="paragraph" w:customStyle="1" w:styleId="47">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8">
    <w:name w:val="List Paragraph"/>
    <w:basedOn w:val="1"/>
    <w:qFormat/>
    <w:uiPriority w:val="99"/>
    <w:pPr>
      <w:ind w:firstLine="0" w:firstLineChars="0"/>
      <w:jc w:val="left"/>
    </w:pPr>
    <w:rPr>
      <w:kern w:val="0"/>
      <w:sz w:val="22"/>
      <w:lang w:eastAsia="en-US"/>
    </w:rPr>
  </w:style>
  <w:style w:type="paragraph" w:customStyle="1" w:styleId="49">
    <w:name w:val="Normal_15"/>
    <w:qFormat/>
    <w:uiPriority w:val="0"/>
    <w:rPr>
      <w:rFonts w:ascii="黑体" w:hAnsi="黑体" w:eastAsia="黑体" w:cs="Times New Roman"/>
      <w:b/>
      <w:sz w:val="32"/>
      <w:szCs w:val="24"/>
      <w:lang w:val="en-US" w:eastAsia="zh-CN" w:bidi="ar-SA"/>
    </w:rPr>
  </w:style>
  <w:style w:type="paragraph" w:customStyle="1" w:styleId="50">
    <w:name w:val="Normal_3"/>
    <w:qFormat/>
    <w:uiPriority w:val="0"/>
    <w:rPr>
      <w:rFonts w:ascii="Times New Roman" w:hAnsi="Times New Roman" w:eastAsia="Times New Roman" w:cs="Times New Roman"/>
      <w:sz w:val="24"/>
      <w:szCs w:val="24"/>
      <w:lang w:val="en-US" w:eastAsia="zh-CN" w:bidi="ar-SA"/>
    </w:rPr>
  </w:style>
  <w:style w:type="paragraph" w:customStyle="1" w:styleId="51">
    <w:name w:val="Normal_17"/>
    <w:qFormat/>
    <w:uiPriority w:val="0"/>
    <w:rPr>
      <w:rFonts w:ascii="黑体" w:hAnsi="黑体" w:eastAsia="黑体" w:cs="Times New Roman"/>
      <w:b/>
      <w:sz w:val="32"/>
      <w:szCs w:val="24"/>
      <w:lang w:val="en-US" w:eastAsia="zh-CN" w:bidi="ar-SA"/>
    </w:rPr>
  </w:style>
  <w:style w:type="paragraph" w:customStyle="1" w:styleId="52">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纯文本_1"/>
    <w:basedOn w:val="52"/>
    <w:unhideWhenUsed/>
    <w:qFormat/>
    <w:uiPriority w:val="0"/>
    <w:rPr>
      <w:rFonts w:ascii="宋体" w:hAnsi="Courier New"/>
      <w:szCs w:val="21"/>
    </w:rPr>
  </w:style>
  <w:style w:type="paragraph" w:customStyle="1" w:styleId="54">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纯文本_0"/>
    <w:basedOn w:val="43"/>
    <w:qFormat/>
    <w:uiPriority w:val="99"/>
    <w:pPr>
      <w:ind w:firstLine="0" w:firstLineChars="0"/>
    </w:pPr>
    <w:rPr>
      <w:rFonts w:ascii="宋体" w:hAnsi="Courier New"/>
      <w:kern w:val="0"/>
      <w:szCs w:val="20"/>
    </w:rPr>
  </w:style>
  <w:style w:type="paragraph" w:customStyle="1" w:styleId="56">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Normal_5"/>
    <w:qFormat/>
    <w:uiPriority w:val="0"/>
    <w:rPr>
      <w:rFonts w:ascii="黑体" w:hAnsi="黑体" w:eastAsia="黑体" w:cs="Times New Roman"/>
      <w:b/>
      <w:sz w:val="32"/>
      <w:szCs w:val="24"/>
      <w:lang w:val="en-US" w:eastAsia="zh-CN" w:bidi="ar-SA"/>
    </w:rPr>
  </w:style>
  <w:style w:type="paragraph" w:customStyle="1" w:styleId="58">
    <w:name w:val="正文段"/>
    <w:basedOn w:val="1"/>
    <w:qFormat/>
    <w:uiPriority w:val="0"/>
    <w:pPr>
      <w:widowControl/>
      <w:snapToGrid w:val="0"/>
      <w:spacing w:afterLines="50"/>
      <w:ind w:firstLine="200" w:firstLineChars="200"/>
    </w:pPr>
    <w:rPr>
      <w:kern w:val="0"/>
      <w:sz w:val="24"/>
    </w:rPr>
  </w:style>
  <w:style w:type="paragraph" w:customStyle="1" w:styleId="59">
    <w:name w:val="正文_0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1">
    <w:name w:val="Normal_22"/>
    <w:qFormat/>
    <w:uiPriority w:val="0"/>
    <w:rPr>
      <w:rFonts w:ascii="黑体" w:hAnsi="黑体" w:eastAsia="黑体" w:cs="Times New Roman"/>
      <w:b/>
      <w:sz w:val="32"/>
      <w:szCs w:val="24"/>
      <w:lang w:val="en-US" w:eastAsia="zh-CN" w:bidi="ar-SA"/>
    </w:rPr>
  </w:style>
  <w:style w:type="paragraph" w:customStyle="1" w:styleId="62">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Normal_4"/>
    <w:qFormat/>
    <w:uiPriority w:val="0"/>
    <w:rPr>
      <w:rFonts w:ascii="黑体" w:hAnsi="黑体" w:eastAsia="黑体" w:cs="Times New Roman"/>
      <w:b/>
      <w:sz w:val="32"/>
      <w:szCs w:val="24"/>
      <w:lang w:val="en-US" w:eastAsia="zh-CN" w:bidi="ar-SA"/>
    </w:rPr>
  </w:style>
  <w:style w:type="paragraph" w:customStyle="1" w:styleId="64">
    <w:name w:val="标题 5（有编号）（绿盟科技）"/>
    <w:basedOn w:val="1"/>
    <w:next w:val="6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65">
    <w:name w:val="正文缩进_0"/>
    <w:basedOn w:val="52"/>
    <w:unhideWhenUsed/>
    <w:qFormat/>
    <w:uiPriority w:val="0"/>
    <w:pPr>
      <w:ind w:firstLine="420" w:firstLineChars="200"/>
    </w:pPr>
    <w:rPr>
      <w:szCs w:val="22"/>
    </w:rPr>
  </w:style>
  <w:style w:type="paragraph" w:customStyle="1" w:styleId="66">
    <w:name w:val="Normal_13"/>
    <w:qFormat/>
    <w:uiPriority w:val="0"/>
    <w:rPr>
      <w:rFonts w:ascii="黑体" w:hAnsi="黑体" w:eastAsia="黑体" w:cs="Times New Roman"/>
      <w:b/>
      <w:sz w:val="32"/>
      <w:szCs w:val="24"/>
      <w:lang w:val="en-US" w:eastAsia="zh-CN" w:bidi="ar-SA"/>
    </w:rPr>
  </w:style>
  <w:style w:type="paragraph" w:customStyle="1" w:styleId="67">
    <w:name w:val="Table Paragraph"/>
    <w:basedOn w:val="1"/>
    <w:qFormat/>
    <w:uiPriority w:val="99"/>
    <w:pPr>
      <w:ind w:firstLine="0" w:firstLineChars="0"/>
      <w:jc w:val="left"/>
    </w:pPr>
    <w:rPr>
      <w:kern w:val="0"/>
      <w:sz w:val="22"/>
      <w:lang w:eastAsia="en-US"/>
    </w:rPr>
  </w:style>
  <w:style w:type="paragraph" w:customStyle="1" w:styleId="68">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Normal_10"/>
    <w:qFormat/>
    <w:uiPriority w:val="0"/>
    <w:rPr>
      <w:rFonts w:ascii="黑体" w:hAnsi="黑体" w:eastAsia="黑体" w:cs="Times New Roman"/>
      <w:b/>
      <w:sz w:val="32"/>
      <w:szCs w:val="24"/>
      <w:lang w:val="en-US" w:eastAsia="zh-CN" w:bidi="ar-SA"/>
    </w:rPr>
  </w:style>
  <w:style w:type="paragraph" w:customStyle="1" w:styleId="70">
    <w:name w:val="Normal_12"/>
    <w:qFormat/>
    <w:uiPriority w:val="0"/>
    <w:rPr>
      <w:rFonts w:ascii="黑体" w:hAnsi="黑体" w:eastAsia="黑体" w:cs="Times New Roman"/>
      <w:b/>
      <w:sz w:val="32"/>
      <w:szCs w:val="24"/>
      <w:lang w:val="en-US" w:eastAsia="zh-CN" w:bidi="ar-SA"/>
    </w:rPr>
  </w:style>
  <w:style w:type="paragraph" w:customStyle="1" w:styleId="71">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Normal"/>
    <w:qFormat/>
    <w:uiPriority w:val="0"/>
    <w:pPr>
      <w:widowControl w:val="0"/>
      <w:jc w:val="both"/>
    </w:pPr>
    <w:rPr>
      <w:rFonts w:ascii="Calibri" w:hAnsi="Calibri" w:eastAsia="宋体" w:cs="Times New Roman"/>
      <w:lang w:val="en-US" w:eastAsia="zh-CN" w:bidi="ar-SA"/>
    </w:rPr>
  </w:style>
  <w:style w:type="paragraph" w:customStyle="1" w:styleId="73">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1"/>
    <w:basedOn w:val="1"/>
    <w:next w:val="1"/>
    <w:qFormat/>
    <w:uiPriority w:val="99"/>
    <w:pPr>
      <w:spacing w:before="156"/>
      <w:ind w:firstLine="510"/>
    </w:pPr>
    <w:rPr>
      <w:rFonts w:ascii="Times New Roman"/>
      <w:szCs w:val="20"/>
    </w:rPr>
  </w:style>
  <w:style w:type="paragraph" w:customStyle="1" w:styleId="76">
    <w:name w:val="Normal_11"/>
    <w:qFormat/>
    <w:uiPriority w:val="0"/>
    <w:rPr>
      <w:rFonts w:ascii="黑体" w:hAnsi="黑体" w:eastAsia="黑体" w:cs="Times New Roman"/>
      <w:b/>
      <w:sz w:val="32"/>
      <w:szCs w:val="24"/>
      <w:lang w:val="en-US" w:eastAsia="zh-CN" w:bidi="ar-SA"/>
    </w:rPr>
  </w:style>
  <w:style w:type="paragraph" w:customStyle="1" w:styleId="77">
    <w:name w:val="Char Char Char Char Char Char Char Char Char Char Char"/>
    <w:basedOn w:val="1"/>
    <w:qFormat/>
    <w:uiPriority w:val="0"/>
    <w:pPr>
      <w:widowControl/>
      <w:spacing w:after="160" w:line="240" w:lineRule="exact"/>
      <w:jc w:val="left"/>
    </w:pPr>
    <w:rPr>
      <w:szCs w:val="24"/>
    </w:rPr>
  </w:style>
  <w:style w:type="paragraph" w:customStyle="1" w:styleId="78">
    <w:name w:val="Normal_14"/>
    <w:qFormat/>
    <w:uiPriority w:val="0"/>
    <w:rPr>
      <w:rFonts w:ascii="黑体" w:hAnsi="黑体" w:eastAsia="黑体" w:cs="Times New Roman"/>
      <w:b/>
      <w:sz w:val="32"/>
      <w:szCs w:val="24"/>
      <w:lang w:val="en-US" w:eastAsia="zh-CN" w:bidi="ar-SA"/>
    </w:rPr>
  </w:style>
  <w:style w:type="paragraph" w:customStyle="1" w:styleId="79">
    <w:name w:val="Normal_16"/>
    <w:qFormat/>
    <w:uiPriority w:val="0"/>
    <w:rPr>
      <w:rFonts w:ascii="黑体" w:hAnsi="黑体" w:eastAsia="黑体" w:cs="Times New Roman"/>
      <w:b/>
      <w:sz w:val="32"/>
      <w:szCs w:val="24"/>
      <w:lang w:val="en-US" w:eastAsia="zh-CN" w:bidi="ar-SA"/>
    </w:rPr>
  </w:style>
  <w:style w:type="paragraph" w:customStyle="1" w:styleId="80">
    <w:name w:val="正文360首行缩进"/>
    <w:basedOn w:val="1"/>
    <w:qFormat/>
    <w:uiPriority w:val="99"/>
    <w:pPr>
      <w:widowControl/>
      <w:spacing w:before="120" w:line="300" w:lineRule="auto"/>
      <w:ind w:firstLine="200"/>
      <w:jc w:val="left"/>
    </w:pPr>
    <w:rPr>
      <w:rFonts w:ascii="Times New Roman" w:hAnsi="Times New Roman"/>
      <w:kern w:val="0"/>
      <w:sz w:val="20"/>
      <w:szCs w:val="20"/>
    </w:rPr>
  </w:style>
  <w:style w:type="character" w:customStyle="1" w:styleId="81">
    <w:name w:val="标题 4 Char"/>
    <w:link w:val="7"/>
    <w:qFormat/>
    <w:locked/>
    <w:uiPriority w:val="99"/>
    <w:rPr>
      <w:rFonts w:ascii="宋体" w:eastAsia="宋体" w:cs="Times New Roman"/>
      <w:b/>
      <w:bCs/>
      <w:sz w:val="24"/>
      <w:szCs w:val="24"/>
      <w:lang w:eastAsia="zh-CN"/>
    </w:rPr>
  </w:style>
  <w:style w:type="character" w:customStyle="1" w:styleId="82">
    <w:name w:val="批注框文本 Char"/>
    <w:link w:val="19"/>
    <w:semiHidden/>
    <w:qFormat/>
    <w:locked/>
    <w:uiPriority w:val="99"/>
    <w:rPr>
      <w:rFonts w:cs="Times New Roman"/>
      <w:sz w:val="18"/>
      <w:szCs w:val="18"/>
      <w:lang w:eastAsia="zh-CN"/>
    </w:rPr>
  </w:style>
  <w:style w:type="character" w:customStyle="1" w:styleId="83">
    <w:name w:val="纯文本 Char"/>
    <w:link w:val="15"/>
    <w:semiHidden/>
    <w:qFormat/>
    <w:locked/>
    <w:uiPriority w:val="99"/>
    <w:rPr>
      <w:rFonts w:ascii="宋体" w:hAnsi="Courier New" w:cs="Courier New"/>
      <w:sz w:val="21"/>
      <w:szCs w:val="21"/>
    </w:rPr>
  </w:style>
  <w:style w:type="character" w:customStyle="1" w:styleId="84">
    <w:name w:val="font21"/>
    <w:qFormat/>
    <w:uiPriority w:val="99"/>
    <w:rPr>
      <w:rFonts w:ascii="宋体" w:hAnsi="宋体" w:eastAsia="宋体" w:cs="宋体"/>
      <w:color w:val="000000"/>
      <w:sz w:val="20"/>
      <w:szCs w:val="20"/>
      <w:u w:val="none"/>
    </w:rPr>
  </w:style>
  <w:style w:type="character" w:customStyle="1" w:styleId="85">
    <w:name w:val="页脚 Char"/>
    <w:link w:val="20"/>
    <w:qFormat/>
    <w:locked/>
    <w:uiPriority w:val="99"/>
    <w:rPr>
      <w:rFonts w:cs="Times New Roman"/>
      <w:sz w:val="18"/>
      <w:szCs w:val="18"/>
    </w:rPr>
  </w:style>
  <w:style w:type="character" w:customStyle="1" w:styleId="86">
    <w:name w:val="标题 1 Char"/>
    <w:link w:val="3"/>
    <w:qFormat/>
    <w:locked/>
    <w:uiPriority w:val="99"/>
    <w:rPr>
      <w:rFonts w:ascii="宋体" w:hAnsi="宋体" w:eastAsia="宋体" w:cs="Times New Roman"/>
      <w:b/>
      <w:bCs/>
      <w:kern w:val="44"/>
      <w:sz w:val="44"/>
      <w:szCs w:val="44"/>
      <w:lang w:eastAsia="zh-CN"/>
    </w:rPr>
  </w:style>
  <w:style w:type="character" w:customStyle="1" w:styleId="87">
    <w:name w:val="正文文本 Char"/>
    <w:link w:val="11"/>
    <w:semiHidden/>
    <w:qFormat/>
    <w:locked/>
    <w:uiPriority w:val="99"/>
    <w:rPr>
      <w:rFonts w:ascii="Calibri" w:hAnsi="Calibri" w:cs="Times New Roman"/>
    </w:rPr>
  </w:style>
  <w:style w:type="character" w:customStyle="1" w:styleId="88">
    <w:name w:val="标题 5 Char"/>
    <w:link w:val="8"/>
    <w:qFormat/>
    <w:locked/>
    <w:uiPriority w:val="99"/>
    <w:rPr>
      <w:rFonts w:ascii="宋体" w:eastAsia="宋体" w:cs="Times New Roman"/>
      <w:b/>
      <w:bCs/>
      <w:sz w:val="21"/>
      <w:szCs w:val="21"/>
      <w:lang w:eastAsia="zh-CN"/>
    </w:rPr>
  </w:style>
  <w:style w:type="character" w:customStyle="1" w:styleId="89">
    <w:name w:val="font81"/>
    <w:qFormat/>
    <w:uiPriority w:val="99"/>
    <w:rPr>
      <w:rFonts w:ascii="Times New Roman" w:hAnsi="Times New Roman" w:cs="Times New Roman"/>
      <w:color w:val="000000"/>
      <w:sz w:val="20"/>
      <w:szCs w:val="20"/>
      <w:u w:val="none"/>
    </w:rPr>
  </w:style>
  <w:style w:type="character" w:customStyle="1" w:styleId="90">
    <w:name w:val="标题 2 Char"/>
    <w:link w:val="4"/>
    <w:qFormat/>
    <w:locked/>
    <w:uiPriority w:val="99"/>
    <w:rPr>
      <w:rFonts w:ascii="Cambria" w:hAnsi="Cambria" w:eastAsia="宋体" w:cs="Times New Roman"/>
      <w:b/>
      <w:bCs/>
      <w:sz w:val="32"/>
      <w:szCs w:val="32"/>
      <w:lang w:eastAsia="zh-CN"/>
    </w:rPr>
  </w:style>
  <w:style w:type="character" w:customStyle="1" w:styleId="91">
    <w:name w:val="标题 3 Char"/>
    <w:link w:val="5"/>
    <w:qFormat/>
    <w:locked/>
    <w:uiPriority w:val="99"/>
    <w:rPr>
      <w:rFonts w:ascii="宋体" w:hAnsi="宋体" w:eastAsia="宋体" w:cs="Times New Roman"/>
      <w:b/>
      <w:bCs/>
      <w:sz w:val="28"/>
      <w:szCs w:val="28"/>
      <w:lang w:eastAsia="zh-CN"/>
    </w:rPr>
  </w:style>
  <w:style w:type="character" w:customStyle="1" w:styleId="92">
    <w:name w:val="font41"/>
    <w:qFormat/>
    <w:uiPriority w:val="99"/>
    <w:rPr>
      <w:rFonts w:ascii="宋体" w:hAnsi="宋体" w:eastAsia="宋体" w:cs="宋体"/>
      <w:color w:val="000000"/>
      <w:sz w:val="20"/>
      <w:szCs w:val="20"/>
      <w:u w:val="none"/>
    </w:rPr>
  </w:style>
  <w:style w:type="character" w:customStyle="1" w:styleId="93">
    <w:name w:val="页眉 Char"/>
    <w:link w:val="21"/>
    <w:qFormat/>
    <w:locked/>
    <w:uiPriority w:val="99"/>
    <w:rPr>
      <w:rFonts w:cs="Times New Roman"/>
      <w:sz w:val="18"/>
      <w:szCs w:val="18"/>
    </w:rPr>
  </w:style>
  <w:style w:type="character" w:customStyle="1" w:styleId="94">
    <w:name w:val="font31"/>
    <w:qFormat/>
    <w:uiPriority w:val="99"/>
    <w:rPr>
      <w:rFonts w:ascii="宋体" w:hAnsi="宋体" w:eastAsia="宋体" w:cs="宋体"/>
      <w:color w:val="000000"/>
      <w:sz w:val="22"/>
      <w:szCs w:val="22"/>
      <w:u w:val="none"/>
    </w:rPr>
  </w:style>
  <w:style w:type="character" w:customStyle="1" w:styleId="95">
    <w:name w:val="font121"/>
    <w:qFormat/>
    <w:uiPriority w:val="99"/>
    <w:rPr>
      <w:rFonts w:ascii="Times New Roman" w:hAnsi="Times New Roman" w:cs="Times New Roman"/>
      <w:color w:val="FF0000"/>
      <w:sz w:val="20"/>
      <w:szCs w:val="20"/>
      <w:u w:val="none"/>
    </w:rPr>
  </w:style>
  <w:style w:type="character" w:customStyle="1" w:styleId="96">
    <w:name w:val="font61"/>
    <w:qFormat/>
    <w:uiPriority w:val="99"/>
    <w:rPr>
      <w:rFonts w:ascii="宋体" w:hAnsi="宋体" w:eastAsia="宋体" w:cs="宋体"/>
      <w:color w:val="FF0000"/>
      <w:sz w:val="20"/>
      <w:szCs w:val="20"/>
      <w:u w:val="none"/>
    </w:rPr>
  </w:style>
  <w:style w:type="character" w:customStyle="1" w:styleId="97">
    <w:name w:val="正文文本缩进 2 Char"/>
    <w:link w:val="18"/>
    <w:semiHidden/>
    <w:qFormat/>
    <w:locked/>
    <w:uiPriority w:val="99"/>
    <w:rPr>
      <w:rFonts w:ascii="Calibri" w:hAnsi="Calibri" w:cs="Times New Roman"/>
    </w:rPr>
  </w:style>
  <w:style w:type="table" w:customStyle="1" w:styleId="98">
    <w:name w:val="Table Normal1"/>
    <w:semiHidden/>
    <w:qFormat/>
    <w:uiPriority w:val="99"/>
    <w:pPr>
      <w:widowControl w:val="0"/>
    </w:pPr>
    <w:rPr>
      <w:sz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5896</Words>
  <Characters>33608</Characters>
  <Lines>280</Lines>
  <Paragraphs>78</Paragraphs>
  <TotalTime>6</TotalTime>
  <ScaleCrop>false</ScaleCrop>
  <LinksUpToDate>false</LinksUpToDate>
  <CharactersWithSpaces>39426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2020-07-30T09:59:00Z</dcterms:created>
  <dc:creator>Windows 用户</dc:creator>
  <cp:lastModifiedBy>笑笑</cp:lastModifiedBy>
  <cp:lastPrinted>2020-10-10T07:43:18Z</cp:lastPrinted>
  <dcterms:modified xsi:type="dcterms:W3CDTF">2020-10-10T07:44:36Z</dcterms:modified>
  <dc:title>您好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